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1</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公开招聘51名遂宁能源职业学院教师</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val="en-US" w:eastAsia="zh-CN"/>
        </w:rPr>
        <w:t>及相关岗位人员招聘条件</w:t>
      </w:r>
    </w:p>
    <w:p>
      <w:pPr>
        <w:ind w:firstLine="632" w:firstLineChars="200"/>
        <w:jc w:val="left"/>
        <w:rPr>
          <w:rFonts w:hint="eastAsia" w:ascii="仿宋_GB2312" w:hAnsi="仿宋_GB2312" w:eastAsia="仿宋_GB2312" w:cs="仿宋_GB2312"/>
          <w:sz w:val="32"/>
          <w:szCs w:val="32"/>
          <w:highlight w:val="none"/>
        </w:rPr>
      </w:pP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基本条件</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一</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具有中华人民共和国国籍。</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二</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拥护中国共产党领导，拥护党的路线方针政策。思想政治素质好，品行修养良好，遵</w:t>
      </w:r>
      <w:r>
        <w:rPr>
          <w:rFonts w:hint="eastAsia" w:ascii="仿宋_GB2312" w:eastAsia="仿宋_GB2312"/>
          <w:sz w:val="32"/>
          <w:szCs w:val="32"/>
          <w:highlight w:val="none"/>
          <w:lang w:eastAsia="zh-CN"/>
        </w:rPr>
        <w:t>纪</w:t>
      </w:r>
      <w:r>
        <w:rPr>
          <w:rFonts w:hint="eastAsia" w:ascii="仿宋_GB2312" w:eastAsia="仿宋_GB2312"/>
          <w:sz w:val="32"/>
          <w:szCs w:val="32"/>
          <w:highlight w:val="none"/>
        </w:rPr>
        <w:t>守法，诚信廉洁，作风严谨，勤奋敬业。</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eastAsia="仿宋_GB231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三</w:t>
      </w:r>
      <w:r>
        <w:rPr>
          <w:rFonts w:hint="eastAsia" w:ascii="楷体_GB2312" w:hAnsi="楷体_GB2312" w:eastAsia="楷体_GB2312" w:cs="楷体_GB2312"/>
          <w:sz w:val="32"/>
          <w:szCs w:val="32"/>
          <w:highlight w:val="none"/>
        </w:rPr>
        <w:t>）</w:t>
      </w:r>
      <w:r>
        <w:rPr>
          <w:rFonts w:hint="eastAsia" w:ascii="仿宋_GB2312" w:hAnsi="仿宋_GB2312" w:eastAsia="仿宋_GB2312" w:cs="仿宋_GB2312"/>
          <w:sz w:val="32"/>
          <w:szCs w:val="32"/>
          <w:highlight w:val="none"/>
        </w:rPr>
        <w:t>热爱教育事业，具有良好的专业素养、思想素质、</w:t>
      </w:r>
      <w:r>
        <w:rPr>
          <w:rFonts w:hint="eastAsia" w:ascii="仿宋_GB2312" w:eastAsia="仿宋_GB2312"/>
          <w:sz w:val="32"/>
          <w:szCs w:val="32"/>
          <w:highlight w:val="none"/>
        </w:rPr>
        <w:t>心理素质</w:t>
      </w:r>
      <w:r>
        <w:rPr>
          <w:rFonts w:hint="eastAsia" w:ascii="仿宋_GB2312" w:hAnsi="仿宋_GB2312" w:eastAsia="仿宋_GB2312" w:cs="仿宋_GB2312"/>
          <w:sz w:val="32"/>
          <w:szCs w:val="32"/>
          <w:highlight w:val="none"/>
        </w:rPr>
        <w:t>和道德修养，</w:t>
      </w:r>
      <w:r>
        <w:rPr>
          <w:rFonts w:hint="eastAsia" w:ascii="仿宋_GB2312" w:hAnsi="仿宋_GB2312" w:eastAsia="仿宋_GB2312" w:cs="仿宋_GB2312"/>
          <w:sz w:val="32"/>
          <w:szCs w:val="32"/>
          <w:highlight w:val="none"/>
          <w:lang w:eastAsia="zh-CN"/>
        </w:rPr>
        <w:t>能</w:t>
      </w:r>
      <w:r>
        <w:rPr>
          <w:rFonts w:hint="eastAsia" w:ascii="仿宋_GB2312" w:hAnsi="仿宋_GB2312" w:eastAsia="仿宋_GB2312" w:cs="仿宋_GB2312"/>
          <w:sz w:val="32"/>
          <w:szCs w:val="32"/>
          <w:highlight w:val="none"/>
        </w:rPr>
        <w:t>为人师表，教书育人。</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四</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具有较强的责任意识和奉献精神。</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五</w:t>
      </w:r>
      <w:r>
        <w:rPr>
          <w:rFonts w:hint="eastAsia" w:ascii="楷体_GB2312" w:hAnsi="楷体_GB2312" w:eastAsia="楷体_GB2312" w:cs="楷体_GB2312"/>
          <w:sz w:val="32"/>
          <w:szCs w:val="32"/>
          <w:highlight w:val="none"/>
        </w:rPr>
        <w:t>）</w:t>
      </w:r>
      <w:r>
        <w:rPr>
          <w:rFonts w:hint="eastAsia" w:ascii="仿宋_GB2312" w:hAnsi="仿宋_GB2312" w:eastAsia="仿宋_GB2312" w:cs="仿宋_GB2312"/>
          <w:sz w:val="32"/>
          <w:szCs w:val="32"/>
          <w:highlight w:val="none"/>
          <w:lang w:eastAsia="zh-CN"/>
        </w:rPr>
        <w:t>身心健康，</w:t>
      </w:r>
      <w:r>
        <w:rPr>
          <w:rFonts w:hint="eastAsia" w:ascii="仿宋_GB2312" w:hAnsi="仿宋_GB2312" w:eastAsia="仿宋_GB2312" w:cs="仿宋_GB2312"/>
          <w:sz w:val="32"/>
          <w:szCs w:val="32"/>
          <w:highlight w:val="none"/>
        </w:rPr>
        <w:t>有正</w:t>
      </w:r>
      <w:r>
        <w:rPr>
          <w:rFonts w:hint="eastAsia" w:ascii="仿宋_GB2312" w:eastAsia="仿宋_GB2312"/>
          <w:sz w:val="32"/>
          <w:szCs w:val="32"/>
          <w:highlight w:val="none"/>
        </w:rPr>
        <w:t>常履行职责的身体条件。</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具有下列情形之一者不得应聘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一</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因犯罪受过刑事处罚、刑事处罚期限未满、涉嫌违法犯罪正在接受调查、被开除中国共产党党籍人员、被开除公职人员。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二</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尚未解除党纪、政纪处分或正在接受纪律审查和监察调查的人员、被依法列为失信惩戒对象的人员。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三</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近5年内在公务员招录、事业单位公开招聘考试中被认定有舞弊等严重违反招聘纪律行为的人员。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hint="eastAsia"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四</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其他违反国家法律法规规定的行为。</w:t>
      </w:r>
    </w:p>
    <w:p>
      <w:pPr>
        <w:rPr>
          <w:rFonts w:hint="eastAsia" w:ascii="仿宋_GB2312" w:eastAsia="仿宋_GB2312"/>
          <w:sz w:val="32"/>
          <w:szCs w:val="32"/>
          <w:highlight w:val="none"/>
        </w:rPr>
      </w:pPr>
      <w:r>
        <w:rPr>
          <w:rFonts w:hint="eastAsia" w:ascii="仿宋_GB2312" w:eastAsia="仿宋_GB2312"/>
          <w:sz w:val="32"/>
          <w:szCs w:val="32"/>
          <w:highlight w:val="none"/>
        </w:rPr>
        <w:br w:type="page"/>
      </w:r>
    </w:p>
    <w:p>
      <w:pPr>
        <w:sectPr>
          <w:headerReference r:id="rId3" w:type="default"/>
          <w:footerReference r:id="rId5" w:type="default"/>
          <w:headerReference r:id="rId4" w:type="even"/>
          <w:footerReference r:id="rId6" w:type="even"/>
          <w:pgSz w:w="11906" w:h="16838"/>
          <w:pgMar w:top="1440" w:right="1800" w:bottom="1440" w:left="1800" w:header="851" w:footer="992" w:gutter="0"/>
          <w:pgNumType w:fmt="numberInDash"/>
          <w:cols w:space="425" w:num="1"/>
          <w:docGrid w:type="linesAndChars" w:linePitch="584" w:charSpace="-849"/>
        </w:sectPr>
      </w:pPr>
    </w:p>
    <w:p>
      <w:pPr>
        <w:keepNext w:val="0"/>
        <w:keepLines w:val="0"/>
        <w:pageBreakBefore w:val="0"/>
        <w:widowControl w:val="0"/>
        <w:kinsoku/>
        <w:wordWrap/>
        <w:overflowPunct/>
        <w:topLinePunct w:val="0"/>
        <w:autoSpaceDE/>
        <w:autoSpaceDN/>
        <w:bidi w:val="0"/>
        <w:adjustRightInd/>
        <w:snapToGrid/>
        <w:ind w:firstLine="632" w:firstLineChars="200"/>
        <w:jc w:val="both"/>
        <w:textAlignment w:val="auto"/>
        <w:rPr>
          <w:rFonts w:hint="default"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三、招聘</w:t>
      </w:r>
      <w:r>
        <w:rPr>
          <w:rFonts w:hint="eastAsia" w:ascii="黑体" w:hAnsi="黑体" w:eastAsia="黑体" w:cs="黑体"/>
          <w:sz w:val="32"/>
          <w:szCs w:val="32"/>
          <w:highlight w:val="none"/>
          <w:lang w:eastAsia="zh-CN"/>
        </w:rPr>
        <w:t>岗位</w:t>
      </w:r>
      <w:r>
        <w:rPr>
          <w:rFonts w:hint="eastAsia" w:ascii="黑体" w:hAnsi="黑体" w:eastAsia="黑体" w:cs="黑体"/>
          <w:sz w:val="32"/>
          <w:szCs w:val="32"/>
          <w:highlight w:val="none"/>
          <w:lang w:val="en-US" w:eastAsia="zh-CN"/>
        </w:rPr>
        <w:t>职责</w:t>
      </w:r>
      <w:r>
        <w:rPr>
          <w:rFonts w:hint="eastAsia" w:ascii="黑体" w:hAnsi="黑体" w:eastAsia="黑体" w:cs="黑体"/>
          <w:sz w:val="32"/>
          <w:szCs w:val="32"/>
          <w:highlight w:val="none"/>
          <w:lang w:eastAsia="zh-CN"/>
        </w:rPr>
        <w:t>及</w:t>
      </w:r>
      <w:r>
        <w:rPr>
          <w:rFonts w:hint="eastAsia" w:ascii="黑体" w:hAnsi="黑体" w:eastAsia="黑体" w:cs="黑体"/>
          <w:sz w:val="32"/>
          <w:szCs w:val="32"/>
          <w:highlight w:val="none"/>
          <w:lang w:val="en-US" w:eastAsia="zh-CN"/>
        </w:rPr>
        <w:t>相关条件</w:t>
      </w:r>
    </w:p>
    <w:tbl>
      <w:tblPr>
        <w:tblStyle w:val="11"/>
        <w:tblpPr w:leftFromText="180" w:rightFromText="180" w:vertAnchor="text" w:horzAnchor="page" w:tblpXSpec="center" w:tblpY="184"/>
        <w:tblOverlap w:val="never"/>
        <w:tblW w:w="10926" w:type="dxa"/>
        <w:jc w:val="center"/>
        <w:tblLayout w:type="fixed"/>
        <w:tblCellMar>
          <w:top w:w="0" w:type="dxa"/>
          <w:left w:w="108" w:type="dxa"/>
          <w:bottom w:w="0" w:type="dxa"/>
          <w:right w:w="108" w:type="dxa"/>
        </w:tblCellMar>
      </w:tblPr>
      <w:tblGrid>
        <w:gridCol w:w="793"/>
        <w:gridCol w:w="1660"/>
        <w:gridCol w:w="4030"/>
        <w:gridCol w:w="700"/>
        <w:gridCol w:w="1560"/>
        <w:gridCol w:w="2183"/>
      </w:tblGrid>
      <w:tr>
        <w:tblPrEx>
          <w:tblCellMar>
            <w:top w:w="0" w:type="dxa"/>
            <w:left w:w="108" w:type="dxa"/>
            <w:bottom w:w="0" w:type="dxa"/>
            <w:right w:w="108" w:type="dxa"/>
          </w:tblCellMar>
        </w:tblPrEx>
        <w:trPr>
          <w:trHeight w:val="520" w:hRule="atLeast"/>
          <w:jc w:val="center"/>
        </w:trPr>
        <w:tc>
          <w:tcPr>
            <w:tcW w:w="7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仿宋_GB2312" w:hAnsi="宋体" w:cs="仿宋_GB2312"/>
                <w:b/>
                <w:bCs/>
                <w:color w:val="auto"/>
                <w:sz w:val="20"/>
                <w:szCs w:val="20"/>
                <w:highlight w:val="none"/>
              </w:rPr>
            </w:pPr>
            <w:r>
              <w:rPr>
                <w:rFonts w:hint="eastAsia" w:ascii="仿宋_GB2312" w:hAnsi="宋体" w:cs="仿宋_GB2312"/>
                <w:b/>
                <w:bCs/>
                <w:color w:val="auto"/>
                <w:kern w:val="0"/>
                <w:sz w:val="20"/>
                <w:szCs w:val="20"/>
                <w:highlight w:val="none"/>
                <w:lang w:bidi="ar"/>
              </w:rPr>
              <w:t>院系</w:t>
            </w:r>
            <w:r>
              <w:rPr>
                <w:rFonts w:hint="eastAsia" w:ascii="仿宋_GB2312" w:hAnsi="宋体" w:cs="仿宋_GB2312"/>
                <w:b/>
                <w:bCs/>
                <w:color w:val="auto"/>
                <w:kern w:val="0"/>
                <w:sz w:val="20"/>
                <w:szCs w:val="20"/>
                <w:highlight w:val="none"/>
                <w:lang w:val="en-US" w:eastAsia="zh-CN" w:bidi="ar"/>
              </w:rPr>
              <w:t>及</w:t>
            </w:r>
            <w:bookmarkStart w:id="0" w:name="_GoBack"/>
            <w:bookmarkEnd w:id="0"/>
            <w:r>
              <w:rPr>
                <w:rFonts w:hint="eastAsia" w:ascii="仿宋_GB2312" w:hAnsi="宋体" w:cs="仿宋_GB2312"/>
                <w:b/>
                <w:bCs/>
                <w:color w:val="auto"/>
                <w:kern w:val="0"/>
                <w:sz w:val="20"/>
                <w:szCs w:val="20"/>
                <w:highlight w:val="none"/>
                <w:lang w:bidi="ar"/>
              </w:rPr>
              <w:t>部门名称</w:t>
            </w:r>
          </w:p>
        </w:tc>
        <w:tc>
          <w:tcPr>
            <w:tcW w:w="1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仿宋_GB2312" w:hAnsi="宋体" w:cs="仿宋_GB2312"/>
                <w:b/>
                <w:bCs/>
                <w:color w:val="auto"/>
                <w:sz w:val="20"/>
                <w:szCs w:val="20"/>
                <w:highlight w:val="none"/>
              </w:rPr>
            </w:pPr>
            <w:r>
              <w:rPr>
                <w:rFonts w:hint="eastAsia" w:ascii="仿宋_GB2312" w:hAnsi="宋体" w:cs="仿宋_GB2312"/>
                <w:b/>
                <w:bCs/>
                <w:color w:val="auto"/>
                <w:kern w:val="0"/>
                <w:sz w:val="20"/>
                <w:szCs w:val="20"/>
                <w:highlight w:val="none"/>
                <w:lang w:bidi="ar"/>
              </w:rPr>
              <w:t>岗位名称</w:t>
            </w:r>
          </w:p>
        </w:tc>
        <w:tc>
          <w:tcPr>
            <w:tcW w:w="40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仿宋_GB2312" w:hAnsi="宋体" w:cs="仿宋_GB2312"/>
                <w:b/>
                <w:bCs/>
                <w:color w:val="FF0000"/>
                <w:sz w:val="20"/>
                <w:szCs w:val="20"/>
                <w:highlight w:val="none"/>
              </w:rPr>
            </w:pPr>
            <w:r>
              <w:rPr>
                <w:rFonts w:hint="eastAsia" w:ascii="仿宋_GB2312" w:hAnsi="宋体" w:cs="仿宋_GB2312"/>
                <w:b/>
                <w:bCs/>
                <w:color w:val="auto"/>
                <w:kern w:val="0"/>
                <w:sz w:val="20"/>
                <w:szCs w:val="20"/>
                <w:highlight w:val="none"/>
                <w:lang w:bidi="ar"/>
              </w:rPr>
              <w:t>主要岗位职责</w:t>
            </w:r>
          </w:p>
        </w:tc>
        <w:tc>
          <w:tcPr>
            <w:tcW w:w="7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仿宋_GB2312" w:hAnsi="宋体" w:cs="仿宋_GB2312"/>
                <w:b/>
                <w:bCs/>
                <w:color w:val="auto"/>
                <w:sz w:val="20"/>
                <w:szCs w:val="20"/>
                <w:highlight w:val="none"/>
              </w:rPr>
            </w:pPr>
            <w:r>
              <w:rPr>
                <w:rFonts w:hint="eastAsia" w:ascii="仿宋_GB2312" w:hAnsi="宋体" w:cs="仿宋_GB2312"/>
                <w:b/>
                <w:bCs/>
                <w:color w:val="auto"/>
                <w:kern w:val="0"/>
                <w:sz w:val="20"/>
                <w:szCs w:val="20"/>
                <w:highlight w:val="none"/>
                <w:lang w:val="en-US" w:eastAsia="zh-CN" w:bidi="ar"/>
              </w:rPr>
              <w:t>职</w:t>
            </w:r>
            <w:r>
              <w:rPr>
                <w:rFonts w:hint="eastAsia" w:ascii="仿宋_GB2312" w:hAnsi="宋体" w:cs="仿宋_GB2312"/>
                <w:b/>
                <w:bCs/>
                <w:color w:val="auto"/>
                <w:kern w:val="0"/>
                <w:sz w:val="20"/>
                <w:szCs w:val="20"/>
                <w:highlight w:val="none"/>
                <w:lang w:bidi="ar"/>
              </w:rPr>
              <w:t>数</w:t>
            </w:r>
          </w:p>
        </w:tc>
        <w:tc>
          <w:tcPr>
            <w:tcW w:w="37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仿宋_GB2312" w:hAnsi="宋体" w:cs="仿宋_GB2312"/>
                <w:b/>
                <w:bCs/>
                <w:color w:val="auto"/>
                <w:sz w:val="20"/>
                <w:szCs w:val="20"/>
                <w:highlight w:val="none"/>
              </w:rPr>
            </w:pPr>
            <w:r>
              <w:rPr>
                <w:rFonts w:hint="eastAsia" w:ascii="仿宋_GB2312" w:hAnsi="宋体" w:cs="仿宋_GB2312"/>
                <w:b/>
                <w:bCs/>
                <w:color w:val="auto"/>
                <w:kern w:val="0"/>
                <w:sz w:val="20"/>
                <w:szCs w:val="20"/>
                <w:highlight w:val="none"/>
                <w:lang w:bidi="ar"/>
              </w:rPr>
              <w:t>招聘条件</w:t>
            </w:r>
          </w:p>
        </w:tc>
      </w:tr>
      <w:tr>
        <w:tblPrEx>
          <w:tblCellMar>
            <w:top w:w="0" w:type="dxa"/>
            <w:left w:w="108" w:type="dxa"/>
            <w:bottom w:w="0" w:type="dxa"/>
            <w:right w:w="108" w:type="dxa"/>
          </w:tblCellMar>
        </w:tblPrEx>
        <w:trPr>
          <w:trHeight w:val="550" w:hRule="atLeast"/>
          <w:jc w:val="center"/>
        </w:trPr>
        <w:tc>
          <w:tcPr>
            <w:tcW w:w="793" w:type="dxa"/>
            <w:vMerge w:val="continue"/>
            <w:tcBorders>
              <w:top w:val="single" w:color="000000" w:sz="4" w:space="0"/>
              <w:left w:val="single" w:color="000000" w:sz="4" w:space="0"/>
              <w:bottom w:val="single" w:color="auto"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113" w:right="113"/>
              <w:jc w:val="center"/>
              <w:rPr>
                <w:rFonts w:hint="default" w:ascii="仿宋_GB2312" w:hAnsi="宋体" w:cs="仿宋_GB2312"/>
                <w:b/>
                <w:bCs/>
                <w:color w:val="auto"/>
                <w:sz w:val="20"/>
                <w:szCs w:val="20"/>
                <w:highlight w:val="none"/>
              </w:rPr>
            </w:pPr>
          </w:p>
        </w:tc>
        <w:tc>
          <w:tcPr>
            <w:tcW w:w="1660"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rPr>
                <w:rFonts w:hint="default" w:ascii="仿宋_GB2312" w:hAnsi="宋体" w:cs="仿宋_GB2312"/>
                <w:b/>
                <w:bCs/>
                <w:color w:val="auto"/>
                <w:sz w:val="20"/>
                <w:szCs w:val="20"/>
                <w:highlight w:val="none"/>
              </w:rPr>
            </w:pPr>
          </w:p>
        </w:tc>
        <w:tc>
          <w:tcPr>
            <w:tcW w:w="4030"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rPr>
                <w:rFonts w:hint="default" w:ascii="仿宋_GB2312" w:hAnsi="宋体" w:cs="仿宋_GB2312"/>
                <w:b/>
                <w:bCs/>
                <w:color w:val="FF0000"/>
                <w:sz w:val="20"/>
                <w:szCs w:val="20"/>
                <w:highlight w:val="none"/>
              </w:rPr>
            </w:pPr>
          </w:p>
        </w:tc>
        <w:tc>
          <w:tcPr>
            <w:tcW w:w="700"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rPr>
                <w:rFonts w:hint="default" w:ascii="仿宋_GB2312" w:hAnsi="宋体" w:cs="仿宋_GB2312"/>
                <w:b/>
                <w:bCs/>
                <w:color w:val="auto"/>
                <w:sz w:val="20"/>
                <w:szCs w:val="20"/>
                <w:highlight w:val="none"/>
              </w:rPr>
            </w:pPr>
          </w:p>
        </w:tc>
        <w:tc>
          <w:tcPr>
            <w:tcW w:w="156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仿宋_GB2312" w:hAnsi="宋体" w:cs="仿宋_GB2312"/>
                <w:b/>
                <w:bCs/>
                <w:color w:val="auto"/>
                <w:sz w:val="20"/>
                <w:szCs w:val="20"/>
                <w:highlight w:val="none"/>
              </w:rPr>
            </w:pPr>
            <w:r>
              <w:rPr>
                <w:rFonts w:hint="eastAsia" w:ascii="仿宋_GB2312" w:hAnsi="宋体" w:cs="仿宋_GB2312"/>
                <w:b/>
                <w:bCs/>
                <w:color w:val="auto"/>
                <w:kern w:val="0"/>
                <w:sz w:val="20"/>
                <w:szCs w:val="20"/>
                <w:highlight w:val="none"/>
                <w:lang w:bidi="ar"/>
              </w:rPr>
              <w:t>年龄、学历等</w:t>
            </w:r>
          </w:p>
        </w:tc>
        <w:tc>
          <w:tcPr>
            <w:tcW w:w="218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仿宋_GB2312" w:hAnsi="宋体" w:cs="仿宋_GB2312"/>
                <w:b/>
                <w:bCs/>
                <w:color w:val="auto"/>
                <w:sz w:val="20"/>
                <w:szCs w:val="20"/>
                <w:highlight w:val="none"/>
              </w:rPr>
            </w:pPr>
            <w:r>
              <w:rPr>
                <w:rFonts w:hint="eastAsia" w:ascii="仿宋_GB2312" w:hAnsi="宋体" w:cs="仿宋_GB2312"/>
                <w:b/>
                <w:bCs/>
                <w:color w:val="auto"/>
                <w:kern w:val="0"/>
                <w:sz w:val="20"/>
                <w:szCs w:val="20"/>
                <w:highlight w:val="none"/>
                <w:lang w:bidi="ar"/>
              </w:rPr>
              <w:t>相关专业要求</w:t>
            </w:r>
          </w:p>
        </w:tc>
      </w:tr>
      <w:tr>
        <w:tblPrEx>
          <w:tblCellMar>
            <w:top w:w="0" w:type="dxa"/>
            <w:left w:w="108" w:type="dxa"/>
            <w:bottom w:w="0" w:type="dxa"/>
            <w:right w:w="108" w:type="dxa"/>
          </w:tblCellMar>
        </w:tblPrEx>
        <w:trPr>
          <w:trHeight w:val="3418" w:hRule="exact"/>
          <w:jc w:val="center"/>
        </w:trPr>
        <w:tc>
          <w:tcPr>
            <w:tcW w:w="793" w:type="dxa"/>
            <w:vMerge w:val="restart"/>
            <w:tcBorders>
              <w:top w:val="single" w:color="auto" w:sz="4" w:space="0"/>
              <w:left w:val="single" w:color="auto" w:sz="4" w:space="0"/>
              <w:bottom w:val="single" w:color="auto" w:sz="4" w:space="0"/>
              <w:right w:val="single" w:color="auto" w:sz="4" w:space="0"/>
            </w:tcBorders>
            <w:shd w:val="clear" w:color="auto" w:fill="auto"/>
            <w:noWrap/>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r>
              <w:rPr>
                <w:rFonts w:hint="eastAsia" w:ascii="宋体" w:hAnsi="宋体" w:eastAsia="宋体" w:cs="宋体"/>
                <w:b/>
                <w:bCs/>
                <w:color w:val="auto"/>
                <w:kern w:val="0"/>
                <w:sz w:val="18"/>
                <w:szCs w:val="18"/>
                <w:highlight w:val="none"/>
                <w:lang w:val="en-US" w:eastAsia="zh-CN" w:bidi="ar"/>
              </w:rPr>
              <w:t>化工与材料</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val="en-US" w:eastAsia="zh-CN" w:bidi="ar"/>
              </w:rPr>
            </w:pPr>
            <w:r>
              <w:rPr>
                <w:rFonts w:hint="eastAsia" w:ascii="宋体" w:hAnsi="宋体" w:eastAsia="宋体" w:cs="宋体"/>
                <w:b/>
                <w:bCs/>
                <w:color w:val="auto"/>
                <w:kern w:val="0"/>
                <w:sz w:val="18"/>
                <w:szCs w:val="18"/>
                <w:highlight w:val="none"/>
                <w:lang w:val="en-US" w:eastAsia="zh-CN" w:bidi="ar"/>
              </w:rPr>
              <w:t>学院</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新能源材料</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应用技术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专业教师</w:t>
            </w:r>
          </w:p>
        </w:tc>
        <w:tc>
          <w:tcPr>
            <w:tcW w:w="40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2.具有较强的专业能力，能够胜任化工与材料学院新能源材料应用技术专业、应用化工技术专业的课程教学工作，承担相应的教育教学科研工作，具有较强的认算机技术应用水平。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微软雅黑" w:hAnsi="微软雅黑" w:eastAsia="微软雅黑" w:cs="微软雅黑"/>
                <w:color w:val="auto"/>
                <w:sz w:val="24"/>
                <w:highlight w:val="none"/>
              </w:rPr>
            </w:pPr>
            <w:r>
              <w:rPr>
                <w:rFonts w:hint="eastAsia" w:ascii="宋体" w:hAnsi="宋体" w:eastAsia="宋体" w:cs="宋体"/>
                <w:color w:val="auto"/>
                <w:kern w:val="0"/>
                <w:sz w:val="18"/>
                <w:szCs w:val="18"/>
                <w:highlight w:val="none"/>
                <w:lang w:bidi="ar"/>
              </w:rPr>
              <w:t>3.能吃苦耐劳，为人正直，有上进心、有责任心，做事严谨、认真、注重细节，能严格按照工作岗位职责要求开展工作。</w:t>
            </w:r>
          </w:p>
        </w:tc>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eastAsia="zh-CN" w:bidi="ar"/>
              </w:rPr>
            </w:pPr>
            <w:r>
              <w:rPr>
                <w:rFonts w:hint="eastAsia" w:ascii="宋体" w:hAnsi="宋体" w:eastAsia="宋体" w:cs="宋体"/>
                <w:color w:val="auto"/>
                <w:kern w:val="0"/>
                <w:sz w:val="18"/>
                <w:szCs w:val="18"/>
                <w:highlight w:val="none"/>
                <w:lang w:val="en-US" w:eastAsia="zh-CN" w:bidi="ar"/>
              </w:rPr>
              <w:t>2</w:t>
            </w:r>
          </w:p>
        </w:tc>
        <w:tc>
          <w:tcPr>
            <w:tcW w:w="156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全日制本科，</w:t>
            </w:r>
            <w:r>
              <w:rPr>
                <w:rFonts w:hint="eastAsia" w:ascii="宋体" w:hAnsi="宋体" w:eastAsia="宋体" w:cs="宋体"/>
                <w:color w:val="auto"/>
                <w:kern w:val="0"/>
                <w:sz w:val="18"/>
                <w:szCs w:val="18"/>
                <w:highlight w:val="none"/>
                <w:lang w:val="en-US" w:eastAsia="zh-CN" w:bidi="ar"/>
              </w:rPr>
              <w:t>具有中级及以上</w:t>
            </w:r>
            <w:r>
              <w:rPr>
                <w:rFonts w:hint="eastAsia" w:ascii="宋体" w:hAnsi="宋体" w:eastAsia="宋体" w:cs="宋体"/>
                <w:color w:val="auto"/>
                <w:kern w:val="0"/>
                <w:sz w:val="18"/>
                <w:szCs w:val="18"/>
                <w:highlight w:val="none"/>
                <w:lang w:bidi="ar"/>
              </w:rPr>
              <w:t>职称</w:t>
            </w:r>
            <w:r>
              <w:rPr>
                <w:rFonts w:hint="eastAsia" w:ascii="宋体" w:hAnsi="宋体" w:eastAsia="宋体" w:cs="宋体"/>
                <w:color w:val="auto"/>
                <w:kern w:val="0"/>
                <w:sz w:val="18"/>
                <w:szCs w:val="18"/>
                <w:highlight w:val="none"/>
                <w:lang w:eastAsia="zh-CN" w:bidi="ar"/>
              </w:rPr>
              <w:t>，</w:t>
            </w:r>
            <w:r>
              <w:rPr>
                <w:rFonts w:hint="eastAsia" w:ascii="宋体" w:hAnsi="宋体" w:eastAsia="宋体" w:cs="宋体"/>
                <w:color w:val="auto"/>
                <w:kern w:val="0"/>
                <w:sz w:val="18"/>
                <w:szCs w:val="18"/>
                <w:highlight w:val="none"/>
                <w:lang w:bidi="ar"/>
              </w:rPr>
              <w:t>年龄4</w:t>
            </w:r>
            <w:r>
              <w:rPr>
                <w:rFonts w:hint="eastAsia" w:ascii="宋体" w:hAnsi="宋体" w:eastAsia="宋体" w:cs="宋体"/>
                <w:color w:val="auto"/>
                <w:kern w:val="0"/>
                <w:sz w:val="18"/>
                <w:szCs w:val="18"/>
                <w:highlight w:val="none"/>
                <w:lang w:val="en-US" w:eastAsia="zh-CN" w:bidi="ar"/>
              </w:rPr>
              <w:t>5</w:t>
            </w:r>
            <w:r>
              <w:rPr>
                <w:rFonts w:hint="eastAsia" w:ascii="宋体" w:hAnsi="宋体" w:eastAsia="宋体" w:cs="宋体"/>
                <w:color w:val="auto"/>
                <w:kern w:val="0"/>
                <w:sz w:val="18"/>
                <w:szCs w:val="18"/>
                <w:highlight w:val="none"/>
                <w:lang w:bidi="ar"/>
              </w:rPr>
              <w:t>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硕士研究生及以上学历，年龄35岁以下。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特别优秀者，可适当放宽相关条件。</w:t>
            </w:r>
          </w:p>
        </w:tc>
        <w:tc>
          <w:tcPr>
            <w:tcW w:w="21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材料科学与工程、新能源材料与器件、新能源科学与工程、储能科学与工程、新材料与应用技术、储能材料工程技术、新能源发电工程技术、材料物理与化学、能源化学工程、清洁能源技术、光伏工程专业、化学工程与技术、高分子材料与工程、新能源材料与动力、新能源材料等相关专业。</w:t>
            </w:r>
          </w:p>
        </w:tc>
      </w:tr>
      <w:tr>
        <w:tblPrEx>
          <w:tblCellMar>
            <w:top w:w="0" w:type="dxa"/>
            <w:left w:w="108" w:type="dxa"/>
            <w:bottom w:w="0" w:type="dxa"/>
            <w:right w:w="108" w:type="dxa"/>
          </w:tblCellMar>
        </w:tblPrEx>
        <w:trPr>
          <w:trHeight w:val="2820" w:hRule="atLeast"/>
          <w:jc w:val="center"/>
        </w:trPr>
        <w:tc>
          <w:tcPr>
            <w:tcW w:w="793" w:type="dxa"/>
            <w:vMerge w:val="continue"/>
            <w:tcBorders>
              <w:top w:val="single" w:color="auto" w:sz="4" w:space="0"/>
              <w:left w:val="single" w:color="auto" w:sz="4" w:space="0"/>
              <w:bottom w:val="nil"/>
              <w:right w:val="single" w:color="auto"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bidi="ar"/>
              </w:rPr>
            </w:pPr>
          </w:p>
        </w:tc>
        <w:tc>
          <w:tcPr>
            <w:tcW w:w="166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应用化工技术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专业教师</w:t>
            </w:r>
          </w:p>
        </w:tc>
        <w:tc>
          <w:tcPr>
            <w:tcW w:w="403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2.具有较强的专业能力，能够胜任化工与材料学院应用化工技术专业、新能源材料应用技术专业的课程教学工作，承担相应的教育教学科研工作，具有较强的认算机技术应用水平。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eastAsia="zh-CN" w:bidi="ar"/>
              </w:rPr>
            </w:pPr>
            <w:r>
              <w:rPr>
                <w:rFonts w:hint="eastAsia" w:ascii="宋体" w:hAnsi="宋体" w:eastAsia="宋体" w:cs="宋体"/>
                <w:color w:val="auto"/>
                <w:kern w:val="0"/>
                <w:sz w:val="18"/>
                <w:szCs w:val="18"/>
                <w:highlight w:val="none"/>
                <w:lang w:val="en-US" w:eastAsia="zh-CN" w:bidi="ar"/>
              </w:rPr>
              <w:t>1</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全日制本科，</w:t>
            </w:r>
            <w:r>
              <w:rPr>
                <w:rFonts w:hint="eastAsia" w:ascii="宋体" w:hAnsi="宋体" w:eastAsia="宋体" w:cs="宋体"/>
                <w:color w:val="auto"/>
                <w:kern w:val="0"/>
                <w:sz w:val="18"/>
                <w:szCs w:val="18"/>
                <w:highlight w:val="none"/>
                <w:lang w:val="en-US" w:eastAsia="zh-CN" w:bidi="ar"/>
              </w:rPr>
              <w:t>具有中级及以上</w:t>
            </w:r>
            <w:r>
              <w:rPr>
                <w:rFonts w:hint="eastAsia" w:ascii="宋体" w:hAnsi="宋体" w:eastAsia="宋体" w:cs="宋体"/>
                <w:color w:val="auto"/>
                <w:kern w:val="0"/>
                <w:sz w:val="18"/>
                <w:szCs w:val="18"/>
                <w:highlight w:val="none"/>
                <w:lang w:bidi="ar"/>
              </w:rPr>
              <w:t>职称</w:t>
            </w:r>
            <w:r>
              <w:rPr>
                <w:rFonts w:hint="eastAsia" w:ascii="宋体" w:hAnsi="宋体" w:eastAsia="宋体" w:cs="宋体"/>
                <w:color w:val="auto"/>
                <w:kern w:val="0"/>
                <w:sz w:val="18"/>
                <w:szCs w:val="18"/>
                <w:highlight w:val="none"/>
                <w:lang w:eastAsia="zh-CN" w:bidi="ar"/>
              </w:rPr>
              <w:t>，</w:t>
            </w:r>
            <w:r>
              <w:rPr>
                <w:rFonts w:hint="eastAsia" w:ascii="宋体" w:hAnsi="宋体" w:eastAsia="宋体" w:cs="宋体"/>
                <w:color w:val="auto"/>
                <w:kern w:val="0"/>
                <w:sz w:val="18"/>
                <w:szCs w:val="18"/>
                <w:highlight w:val="none"/>
                <w:lang w:bidi="ar"/>
              </w:rPr>
              <w:t>年龄4</w:t>
            </w:r>
            <w:r>
              <w:rPr>
                <w:rFonts w:hint="eastAsia" w:ascii="宋体" w:hAnsi="宋体" w:eastAsia="宋体" w:cs="宋体"/>
                <w:color w:val="auto"/>
                <w:kern w:val="0"/>
                <w:sz w:val="18"/>
                <w:szCs w:val="18"/>
                <w:highlight w:val="none"/>
                <w:lang w:val="en-US" w:eastAsia="zh-CN" w:bidi="ar"/>
              </w:rPr>
              <w:t>5</w:t>
            </w:r>
            <w:r>
              <w:rPr>
                <w:rFonts w:hint="eastAsia" w:ascii="宋体" w:hAnsi="宋体" w:eastAsia="宋体" w:cs="宋体"/>
                <w:color w:val="auto"/>
                <w:kern w:val="0"/>
                <w:sz w:val="18"/>
                <w:szCs w:val="18"/>
                <w:highlight w:val="none"/>
                <w:lang w:bidi="ar"/>
              </w:rPr>
              <w:t>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硕士研究生及以上学历，年龄35岁以下。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val="en-US" w:eastAsia="zh-CN" w:bidi="ar"/>
              </w:rPr>
              <w:t>特别优秀者，可适当放宽相关条件。</w:t>
            </w:r>
          </w:p>
        </w:tc>
        <w:tc>
          <w:tcPr>
            <w:tcW w:w="218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bidi="ar"/>
              </w:rPr>
            </w:pPr>
            <w:r>
              <w:rPr>
                <w:rFonts w:hint="eastAsia" w:ascii="宋体" w:hAnsi="宋体" w:eastAsia="宋体" w:cs="宋体"/>
                <w:color w:val="auto"/>
                <w:kern w:val="0"/>
                <w:sz w:val="18"/>
                <w:szCs w:val="18"/>
                <w:highlight w:val="none"/>
                <w:lang w:bidi="ar"/>
              </w:rPr>
              <w:t>化学工程、化学工艺、化学工程与技术、应用化工、应用化学、分析化学、有机化学、无机化学、石油与天然气工程专业、能源化学工程、高分子材料与工程、材料科学与工程专业等化工相关专业。</w:t>
            </w:r>
          </w:p>
        </w:tc>
      </w:tr>
      <w:tr>
        <w:tblPrEx>
          <w:tblCellMar>
            <w:top w:w="0" w:type="dxa"/>
            <w:left w:w="108" w:type="dxa"/>
            <w:bottom w:w="0" w:type="dxa"/>
            <w:right w:w="108" w:type="dxa"/>
          </w:tblCellMar>
        </w:tblPrEx>
        <w:trPr>
          <w:trHeight w:val="5060" w:hRule="exact"/>
          <w:jc w:val="center"/>
        </w:trPr>
        <w:tc>
          <w:tcPr>
            <w:tcW w:w="793" w:type="dxa"/>
            <w:vMerge w:val="continue"/>
            <w:tcBorders>
              <w:top w:val="nil"/>
              <w:left w:val="single" w:color="auto" w:sz="4" w:space="0"/>
              <w:bottom w:val="single" w:color="auto" w:sz="4" w:space="0"/>
              <w:right w:val="single" w:color="auto"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p>
        </w:tc>
        <w:tc>
          <w:tcPr>
            <w:tcW w:w="166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化工与材料</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实训指导教师</w:t>
            </w:r>
          </w:p>
        </w:tc>
        <w:tc>
          <w:tcPr>
            <w:tcW w:w="4030" w:type="dxa"/>
            <w:tcBorders>
              <w:top w:val="single" w:color="auto" w:sz="4" w:space="0"/>
              <w:left w:val="single" w:color="auto" w:sz="4" w:space="0"/>
              <w:bottom w:val="single" w:color="auto"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2.具有较强的专业能力，能够胜任化工与材料学院应用化工技术专业、新能源材料应用技术专业的实践教学和课程教学工作，承担相应的教育教学科研工作，具有较强的认算机技术应用水平。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auto" w:sz="4" w:space="0"/>
              <w:left w:val="single" w:color="000000" w:sz="4" w:space="0"/>
              <w:bottom w:val="single" w:color="auto"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w:t>
            </w:r>
          </w:p>
        </w:tc>
        <w:tc>
          <w:tcPr>
            <w:tcW w:w="1560"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特别优秀者，可适当放宽相关条件。</w:t>
            </w:r>
          </w:p>
        </w:tc>
        <w:tc>
          <w:tcPr>
            <w:tcW w:w="2183" w:type="dxa"/>
            <w:tcBorders>
              <w:top w:val="single" w:color="auto" w:sz="4" w:space="0"/>
              <w:left w:val="single" w:color="000000" w:sz="4" w:space="0"/>
              <w:bottom w:val="single" w:color="auto"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化学工程、化学工艺、化学工程与技术、应用化工、应用化学、分析化学、有机化学、无机化学、石油与天然气工程专业、高分子材料与工程、材料科学与工程、新能源材料与器件、新能源科学与工程、储能科学与工程、新材料与应用技术、储能材料工程技术、新能源发电工程技术、材料物理与化学、能源化学工程、清洁能源技术、光伏工程专业、化学工程与技术、新能源材料与动力等化工与材料相关专业。</w:t>
            </w:r>
          </w:p>
        </w:tc>
      </w:tr>
      <w:tr>
        <w:tblPrEx>
          <w:tblCellMar>
            <w:top w:w="0" w:type="dxa"/>
            <w:left w:w="108" w:type="dxa"/>
            <w:bottom w:w="0" w:type="dxa"/>
            <w:right w:w="108" w:type="dxa"/>
          </w:tblCellMar>
        </w:tblPrEx>
        <w:trPr>
          <w:trHeight w:val="2570" w:hRule="atLeast"/>
          <w:jc w:val="center"/>
        </w:trPr>
        <w:tc>
          <w:tcPr>
            <w:tcW w:w="793" w:type="dxa"/>
            <w:vMerge w:val="restart"/>
            <w:tcBorders>
              <w:top w:val="single" w:color="auto" w:sz="4" w:space="0"/>
              <w:left w:val="single" w:color="auto" w:sz="4" w:space="0"/>
              <w:bottom w:val="nil"/>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能源</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工程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学院</w:t>
            </w:r>
          </w:p>
        </w:tc>
        <w:tc>
          <w:tcPr>
            <w:tcW w:w="166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val="en-US" w:eastAsia="zh-CN" w:bidi="ar"/>
              </w:rPr>
              <w:t>机制</w:t>
            </w:r>
            <w:r>
              <w:rPr>
                <w:rFonts w:hint="eastAsia" w:ascii="宋体" w:hAnsi="宋体" w:eastAsia="宋体" w:cs="宋体"/>
                <w:b/>
                <w:bCs/>
                <w:color w:val="auto"/>
                <w:kern w:val="0"/>
                <w:sz w:val="18"/>
                <w:szCs w:val="18"/>
                <w:highlight w:val="none"/>
                <w:lang w:bidi="ar"/>
              </w:rPr>
              <w:t>工艺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专业教师</w:t>
            </w:r>
          </w:p>
        </w:tc>
        <w:tc>
          <w:tcPr>
            <w:tcW w:w="403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2.具有较强的专业能力，能够胜任能源学院电气自动化、节电技术等专业基础课程教学与实训指导工作，承担相应的教育教学科研工作；具有较强的计算机技术应用水平。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特别优秀者，可适当放宽相关条件。</w:t>
            </w:r>
          </w:p>
        </w:tc>
        <w:tc>
          <w:tcPr>
            <w:tcW w:w="218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机械工程、机械设计制造及其自动化、材料成型及控制工程、机械电子工程、工业设计、过程装备与控制工程、机械工艺技术、机电技术教育、智能制造工程、智能车辆工程、应急装备技术与工程等机械类相关专业。</w:t>
            </w:r>
          </w:p>
        </w:tc>
      </w:tr>
      <w:tr>
        <w:tblPrEx>
          <w:tblCellMar>
            <w:top w:w="0" w:type="dxa"/>
            <w:left w:w="108" w:type="dxa"/>
            <w:bottom w:w="0" w:type="dxa"/>
            <w:right w:w="108" w:type="dxa"/>
          </w:tblCellMar>
        </w:tblPrEx>
        <w:trPr>
          <w:trHeight w:val="2770" w:hRule="atLeast"/>
          <w:jc w:val="center"/>
        </w:trPr>
        <w:tc>
          <w:tcPr>
            <w:tcW w:w="793" w:type="dxa"/>
            <w:vMerge w:val="continue"/>
            <w:tcBorders>
              <w:top w:val="nil"/>
              <w:left w:val="single" w:color="auto" w:sz="4" w:space="0"/>
              <w:right w:val="single" w:color="auto"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p>
        </w:tc>
        <w:tc>
          <w:tcPr>
            <w:tcW w:w="1660" w:type="dxa"/>
            <w:tcBorders>
              <w:top w:val="single" w:color="auto" w:sz="4" w:space="0"/>
              <w:left w:val="single" w:color="auto"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电子技术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专业教师</w:t>
            </w:r>
          </w:p>
        </w:tc>
        <w:tc>
          <w:tcPr>
            <w:tcW w:w="4030" w:type="dxa"/>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2.具有较强的专业能力，能够胜任能源学院电力专业、节电技术等专业基础课程教学与实训指导工作，承担相应的教育教学科研工作；具有较强的计算机技术应用水平。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w:t>
            </w:r>
          </w:p>
        </w:tc>
        <w:tc>
          <w:tcPr>
            <w:tcW w:w="156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特别优秀者，可适当放宽相关条件。</w:t>
            </w:r>
          </w:p>
        </w:tc>
        <w:tc>
          <w:tcPr>
            <w:tcW w:w="2183" w:type="dxa"/>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电子信息工程、电子科学与技术、通信工程、微电子科学与工程、光电信息科学与工程、信息工程、广播电视工程、集成电路设计与集成系统、医学信息工程、电磁场与无线技术、电子信息科学与技术、电信工程及管理、应用电子技术教育等电子相关专业。</w:t>
            </w:r>
          </w:p>
        </w:tc>
      </w:tr>
      <w:tr>
        <w:tblPrEx>
          <w:tblCellMar>
            <w:top w:w="0" w:type="dxa"/>
            <w:left w:w="108" w:type="dxa"/>
            <w:bottom w:w="0" w:type="dxa"/>
            <w:right w:w="108" w:type="dxa"/>
          </w:tblCellMar>
        </w:tblPrEx>
        <w:trPr>
          <w:trHeight w:val="2160" w:hRule="atLeast"/>
          <w:jc w:val="center"/>
        </w:trPr>
        <w:tc>
          <w:tcPr>
            <w:tcW w:w="793" w:type="dxa"/>
            <w:vMerge w:val="continue"/>
            <w:tcBorders>
              <w:left w:val="single" w:color="auto" w:sz="4" w:space="0"/>
              <w:right w:val="single" w:color="auto"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p>
        </w:tc>
        <w:tc>
          <w:tcPr>
            <w:tcW w:w="1660" w:type="dxa"/>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电气自动化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专业教师</w:t>
            </w:r>
          </w:p>
        </w:tc>
        <w:tc>
          <w:tcPr>
            <w:tcW w:w="4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2.具有较强的专业能力，能够胜任能源学院电力专业、节电技术等专业基础课程、专业课程教学与技能训练指导工作，承担相应的教育教学科研工作；具有较强的计算机技术应用水平。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4</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特别优秀者，可适当放宽相关条件。</w:t>
            </w:r>
          </w:p>
        </w:tc>
        <w:tc>
          <w:tcPr>
            <w:tcW w:w="21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电气工程、电气工程及其自动化，智能电网信息工程，光源与照明，电气工程与智能控制，电机电器智能化，电缆工程、电力系统及其自动化、高电压及绝缘技术、热控自动化、电气自动化、集控运行、继电保护等电力类相关专业。</w:t>
            </w:r>
          </w:p>
        </w:tc>
      </w:tr>
      <w:tr>
        <w:tblPrEx>
          <w:tblCellMar>
            <w:top w:w="0" w:type="dxa"/>
            <w:left w:w="108" w:type="dxa"/>
            <w:bottom w:w="0" w:type="dxa"/>
            <w:right w:w="108" w:type="dxa"/>
          </w:tblCellMar>
        </w:tblPrEx>
        <w:trPr>
          <w:trHeight w:val="2090" w:hRule="atLeast"/>
          <w:jc w:val="center"/>
        </w:trPr>
        <w:tc>
          <w:tcPr>
            <w:tcW w:w="793" w:type="dxa"/>
            <w:vMerge w:val="continue"/>
            <w:tcBorders>
              <w:left w:val="single" w:color="auto" w:sz="4" w:space="0"/>
              <w:right w:val="single" w:color="auto"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p>
        </w:tc>
        <w:tc>
          <w:tcPr>
            <w:tcW w:w="1660" w:type="dxa"/>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发电厂电气设备</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专业教师</w:t>
            </w:r>
          </w:p>
        </w:tc>
        <w:tc>
          <w:tcPr>
            <w:tcW w:w="4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2.具有较强的专业能力，能够胜任能源学院电力专业、节电技术等专业课程教学与技能训练指导工作，承担相应的教育教学科研工作；具有较强的计算机技术应用水平。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特别优秀者，可适当放宽相关条件。</w:t>
            </w:r>
          </w:p>
        </w:tc>
        <w:tc>
          <w:tcPr>
            <w:tcW w:w="21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电气工程、发电厂及电力系统、火电厂集控运行、热控自动化、电力系统及其自动化、高电压及绝缘技术、热控自动化、电气自动化、热能与动力工程、集控运行、输电线路、继电保护等电力类专业。</w:t>
            </w:r>
          </w:p>
        </w:tc>
      </w:tr>
      <w:tr>
        <w:tblPrEx>
          <w:tblCellMar>
            <w:top w:w="0" w:type="dxa"/>
            <w:left w:w="108" w:type="dxa"/>
            <w:bottom w:w="0" w:type="dxa"/>
            <w:right w:w="108" w:type="dxa"/>
          </w:tblCellMar>
        </w:tblPrEx>
        <w:trPr>
          <w:trHeight w:val="1930" w:hRule="atLeast"/>
          <w:jc w:val="center"/>
        </w:trPr>
        <w:tc>
          <w:tcPr>
            <w:tcW w:w="793" w:type="dxa"/>
            <w:vMerge w:val="continue"/>
            <w:tcBorders>
              <w:left w:val="single" w:color="auto" w:sz="4" w:space="0"/>
              <w:right w:val="single" w:color="auto"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p>
        </w:tc>
        <w:tc>
          <w:tcPr>
            <w:tcW w:w="1660" w:type="dxa"/>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发电厂及电力系统</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专业教师</w:t>
            </w:r>
          </w:p>
        </w:tc>
        <w:tc>
          <w:tcPr>
            <w:tcW w:w="4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2.具有较强的专业能力，能够胜任能源学院电力专业、节电技术等专业课程教学与技能训练指导工作，承担相应的教育教学科研工作；具有较强的计算机技术应用水平。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特别优秀者，可适当放宽相关条件。</w:t>
            </w:r>
          </w:p>
        </w:tc>
        <w:tc>
          <w:tcPr>
            <w:tcW w:w="21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电气工程、发电厂及电力系统、火电厂集控运行、热控自动化、电力系统及其自动化、高电压及绝缘技术、热控自动化、电气自动化、热能与动力工程、集控运行、输电线路、继电保护等电力类相关专业。</w:t>
            </w:r>
          </w:p>
        </w:tc>
      </w:tr>
      <w:tr>
        <w:tblPrEx>
          <w:tblCellMar>
            <w:top w:w="0" w:type="dxa"/>
            <w:left w:w="108" w:type="dxa"/>
            <w:bottom w:w="0" w:type="dxa"/>
            <w:right w:w="108" w:type="dxa"/>
          </w:tblCellMar>
        </w:tblPrEx>
        <w:trPr>
          <w:trHeight w:val="2220" w:hRule="atLeast"/>
          <w:jc w:val="center"/>
        </w:trPr>
        <w:tc>
          <w:tcPr>
            <w:tcW w:w="793" w:type="dxa"/>
            <w:vMerge w:val="continue"/>
            <w:tcBorders>
              <w:left w:val="single" w:color="auto" w:sz="4" w:space="0"/>
              <w:bottom w:val="single" w:color="auto" w:sz="4" w:space="0"/>
              <w:right w:val="single" w:color="auto"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p>
        </w:tc>
        <w:tc>
          <w:tcPr>
            <w:tcW w:w="1660" w:type="dxa"/>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输变电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实训指导教师</w:t>
            </w:r>
          </w:p>
        </w:tc>
        <w:tc>
          <w:tcPr>
            <w:tcW w:w="4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2.具有较强的专业能力，能够胜任能源学院电力专业、节电技术等基本技能与专业技能训练指导工作，承担相应的教育教学科研工作；具有较强的计算机技术应用水平。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4</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全日制本科及以上学历，年龄45岁以下，中级及以上职称或高级工及以上技能等级，具有2年以上相关工作经历。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特别优秀者，可适当放宽相关条件。</w:t>
            </w:r>
          </w:p>
        </w:tc>
        <w:tc>
          <w:tcPr>
            <w:tcW w:w="21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电气工程、发电厂及电力系统、火电厂集控运行、电缆工程、电力系统及其自动化、高电压及绝缘技术、电气自动化、热能与动力工程、集控运行、输电线路、继电保护等电力类相关专业。</w:t>
            </w:r>
          </w:p>
        </w:tc>
      </w:tr>
      <w:tr>
        <w:tblPrEx>
          <w:tblCellMar>
            <w:top w:w="0" w:type="dxa"/>
            <w:left w:w="108" w:type="dxa"/>
            <w:bottom w:w="0" w:type="dxa"/>
            <w:right w:w="108" w:type="dxa"/>
          </w:tblCellMar>
        </w:tblPrEx>
        <w:trPr>
          <w:trHeight w:val="2350" w:hRule="atLeast"/>
          <w:jc w:val="center"/>
        </w:trPr>
        <w:tc>
          <w:tcPr>
            <w:tcW w:w="793" w:type="dxa"/>
            <w:vMerge w:val="restart"/>
            <w:tcBorders>
              <w:top w:val="single" w:color="auto" w:sz="4" w:space="0"/>
              <w:left w:val="single" w:color="auto" w:sz="4" w:space="0"/>
              <w:bottom w:val="nil"/>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r>
              <w:rPr>
                <w:rFonts w:hint="eastAsia" w:ascii="宋体" w:hAnsi="宋体" w:eastAsia="宋体" w:cs="宋体"/>
                <w:b/>
                <w:bCs/>
                <w:color w:val="auto"/>
                <w:kern w:val="0"/>
                <w:sz w:val="18"/>
                <w:szCs w:val="18"/>
                <w:highlight w:val="none"/>
                <w:lang w:val="en-US" w:eastAsia="zh-CN" w:bidi="ar"/>
              </w:rPr>
              <w:t>数字</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r>
              <w:rPr>
                <w:rFonts w:hint="eastAsia" w:ascii="宋体" w:hAnsi="宋体" w:eastAsia="宋体" w:cs="宋体"/>
                <w:b/>
                <w:bCs/>
                <w:color w:val="auto"/>
                <w:kern w:val="0"/>
                <w:sz w:val="18"/>
                <w:szCs w:val="18"/>
                <w:highlight w:val="none"/>
                <w:lang w:val="en-US" w:eastAsia="zh-CN" w:bidi="ar"/>
              </w:rPr>
              <w:t>经济</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val="en-US" w:eastAsia="zh-CN" w:bidi="ar"/>
              </w:rPr>
            </w:pPr>
            <w:r>
              <w:rPr>
                <w:rFonts w:hint="eastAsia" w:ascii="宋体" w:hAnsi="宋体" w:eastAsia="宋体" w:cs="宋体"/>
                <w:b/>
                <w:bCs/>
                <w:color w:val="auto"/>
                <w:kern w:val="0"/>
                <w:sz w:val="18"/>
                <w:szCs w:val="18"/>
                <w:highlight w:val="none"/>
                <w:lang w:val="en-US" w:eastAsia="zh-CN" w:bidi="ar"/>
              </w:rPr>
              <w:t>学院</w:t>
            </w:r>
          </w:p>
        </w:tc>
        <w:tc>
          <w:tcPr>
            <w:tcW w:w="1660" w:type="dxa"/>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大数据与财务管理专业及电子商务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专业教师</w:t>
            </w:r>
          </w:p>
        </w:tc>
        <w:tc>
          <w:tcPr>
            <w:tcW w:w="4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数字经济学院电子商务专业或大数据与财务管理专业课程教学工作；能承担相应专业的专业建设及课程建设工作；承担相应的教育教学科研工作；具有较强的计算机技术应用水平。</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特别优秀者，可适当放宽相关条件。</w:t>
            </w:r>
          </w:p>
        </w:tc>
        <w:tc>
          <w:tcPr>
            <w:tcW w:w="21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电子商务、大数据与财务管理、财会、会计、财务管理、会计信息管理、金融学等相关专业。</w:t>
            </w:r>
          </w:p>
        </w:tc>
      </w:tr>
      <w:tr>
        <w:tblPrEx>
          <w:tblCellMar>
            <w:top w:w="0" w:type="dxa"/>
            <w:left w:w="108" w:type="dxa"/>
            <w:bottom w:w="0" w:type="dxa"/>
            <w:right w:w="108" w:type="dxa"/>
          </w:tblCellMar>
        </w:tblPrEx>
        <w:trPr>
          <w:trHeight w:val="2210" w:hRule="atLeast"/>
          <w:jc w:val="center"/>
        </w:trPr>
        <w:tc>
          <w:tcPr>
            <w:tcW w:w="793" w:type="dxa"/>
            <w:vMerge w:val="continue"/>
            <w:tcBorders>
              <w:top w:val="nil"/>
              <w:left w:val="single" w:color="auto" w:sz="4" w:space="0"/>
              <w:bottom w:val="single" w:color="auto" w:sz="4" w:space="0"/>
              <w:right w:val="single" w:color="auto"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p>
        </w:tc>
        <w:tc>
          <w:tcPr>
            <w:tcW w:w="1660" w:type="dxa"/>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数字媒体技术</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专业教师</w:t>
            </w:r>
          </w:p>
        </w:tc>
        <w:tc>
          <w:tcPr>
            <w:tcW w:w="4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2.具有较强的专业能力，能够胜任数字经济学院数字媒体技术专业课程教学工作；能承担本专业的人才培养方案的建设及课程建设工作；承担相应的教育教学科研工作。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特别优秀者，可适当放宽相关条件。</w:t>
            </w:r>
          </w:p>
        </w:tc>
        <w:tc>
          <w:tcPr>
            <w:tcW w:w="21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数字媒体技术、新媒体、计算机科学与技术、软件工程、网络工程、计算机应用技术等相关专业。</w:t>
            </w:r>
          </w:p>
        </w:tc>
      </w:tr>
      <w:tr>
        <w:tblPrEx>
          <w:tblCellMar>
            <w:top w:w="0" w:type="dxa"/>
            <w:left w:w="108" w:type="dxa"/>
            <w:bottom w:w="0" w:type="dxa"/>
            <w:right w:w="108" w:type="dxa"/>
          </w:tblCellMar>
        </w:tblPrEx>
        <w:trPr>
          <w:trHeight w:val="2060" w:hRule="atLeast"/>
          <w:jc w:val="center"/>
        </w:trPr>
        <w:tc>
          <w:tcPr>
            <w:tcW w:w="793" w:type="dxa"/>
            <w:vMerge w:val="restart"/>
            <w:tcBorders>
              <w:top w:val="single" w:color="auto"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val="en-US" w:eastAsia="zh-CN" w:bidi="ar"/>
              </w:rPr>
            </w:pPr>
            <w:r>
              <w:rPr>
                <w:rFonts w:hint="eastAsia" w:ascii="宋体" w:hAnsi="宋体" w:eastAsia="宋体" w:cs="宋体"/>
                <w:b/>
                <w:bCs/>
                <w:color w:val="auto"/>
                <w:kern w:val="0"/>
                <w:sz w:val="18"/>
                <w:szCs w:val="18"/>
                <w:highlight w:val="none"/>
                <w:lang w:val="en-US" w:eastAsia="zh-CN" w:bidi="ar"/>
              </w:rPr>
              <w:t>教务处</w:t>
            </w:r>
          </w:p>
        </w:tc>
        <w:tc>
          <w:tcPr>
            <w:tcW w:w="1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语文教师</w:t>
            </w:r>
          </w:p>
        </w:tc>
        <w:tc>
          <w:tcPr>
            <w:tcW w:w="4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2.具有较强的专业能力，能够胜任能源学院语文课程教学工作，承担相应的教育教学科研工作；能熟练使用办公软件。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w:t>
            </w:r>
          </w:p>
        </w:tc>
        <w:tc>
          <w:tcPr>
            <w:tcW w:w="156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tc>
        <w:tc>
          <w:tcPr>
            <w:tcW w:w="21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汉语言文学、汉语言、中国语言文学、中国古代文学、中国现当代文学、学科教育（语文）等专业。</w:t>
            </w:r>
          </w:p>
        </w:tc>
      </w:tr>
      <w:tr>
        <w:tblPrEx>
          <w:tblCellMar>
            <w:top w:w="0" w:type="dxa"/>
            <w:left w:w="108" w:type="dxa"/>
            <w:bottom w:w="0" w:type="dxa"/>
            <w:right w:w="108" w:type="dxa"/>
          </w:tblCellMar>
        </w:tblPrEx>
        <w:trPr>
          <w:trHeight w:val="2110" w:hRule="atLeast"/>
          <w:jc w:val="center"/>
        </w:trPr>
        <w:tc>
          <w:tcPr>
            <w:tcW w:w="793" w:type="dxa"/>
            <w:vMerge w:val="continue"/>
            <w:tcBorders>
              <w:top w:val="nil"/>
              <w:left w:val="single" w:color="000000" w:sz="4" w:space="0"/>
              <w:bottom w:val="nil"/>
              <w:right w:val="single" w:color="000000"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bidi="ar"/>
              </w:rPr>
            </w:pPr>
          </w:p>
        </w:tc>
        <w:tc>
          <w:tcPr>
            <w:tcW w:w="1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数学教师</w:t>
            </w:r>
          </w:p>
        </w:tc>
        <w:tc>
          <w:tcPr>
            <w:tcW w:w="4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2.具有较强的专业能力，能够胜任能源学院数学课程教学工作，承担相应的教育教学科研工作；能熟练使用办公软件。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4</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tc>
        <w:tc>
          <w:tcPr>
            <w:tcW w:w="2183" w:type="dxa"/>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数学、应用数学、统计学等相关专业。</w:t>
            </w:r>
          </w:p>
        </w:tc>
      </w:tr>
      <w:tr>
        <w:tblPrEx>
          <w:tblCellMar>
            <w:top w:w="0" w:type="dxa"/>
            <w:left w:w="108" w:type="dxa"/>
            <w:bottom w:w="0" w:type="dxa"/>
            <w:right w:w="108" w:type="dxa"/>
          </w:tblCellMar>
        </w:tblPrEx>
        <w:trPr>
          <w:trHeight w:val="2240" w:hRule="atLeast"/>
          <w:jc w:val="center"/>
        </w:trPr>
        <w:tc>
          <w:tcPr>
            <w:tcW w:w="793" w:type="dxa"/>
            <w:vMerge w:val="continue"/>
            <w:tcBorders>
              <w:top w:val="nil"/>
              <w:left w:val="single" w:color="000000" w:sz="4" w:space="0"/>
              <w:bottom w:val="nil"/>
              <w:right w:val="single" w:color="000000"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bidi="ar"/>
              </w:rPr>
            </w:pPr>
          </w:p>
        </w:tc>
        <w:tc>
          <w:tcPr>
            <w:tcW w:w="1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英语教师</w:t>
            </w:r>
          </w:p>
        </w:tc>
        <w:tc>
          <w:tcPr>
            <w:tcW w:w="4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2.具有较强的专业能力，能够胜任能源学院英语课程教学工作，承担相应的教育教学科研工作；能熟练使用办公软件。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tc>
        <w:tc>
          <w:tcPr>
            <w:tcW w:w="2183" w:type="dxa"/>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英语、商务英语、英语教育、应用英语等专业。</w:t>
            </w:r>
          </w:p>
        </w:tc>
      </w:tr>
      <w:tr>
        <w:tblPrEx>
          <w:tblCellMar>
            <w:top w:w="0" w:type="dxa"/>
            <w:left w:w="108" w:type="dxa"/>
            <w:bottom w:w="0" w:type="dxa"/>
            <w:right w:w="108" w:type="dxa"/>
          </w:tblCellMar>
        </w:tblPrEx>
        <w:trPr>
          <w:trHeight w:val="2680" w:hRule="atLeast"/>
          <w:jc w:val="center"/>
        </w:trPr>
        <w:tc>
          <w:tcPr>
            <w:tcW w:w="793" w:type="dxa"/>
            <w:vMerge w:val="continue"/>
            <w:tcBorders>
              <w:top w:val="nil"/>
              <w:left w:val="single" w:color="000000" w:sz="4" w:space="0"/>
              <w:bottom w:val="nil"/>
              <w:right w:val="single" w:color="000000"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bidi="ar"/>
              </w:rPr>
            </w:pPr>
          </w:p>
        </w:tc>
        <w:tc>
          <w:tcPr>
            <w:tcW w:w="1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auto"/>
                <w:kern w:val="0"/>
                <w:sz w:val="18"/>
                <w:szCs w:val="18"/>
                <w:highlight w:val="none"/>
                <w:lang w:bidi="ar"/>
              </w:rPr>
            </w:pPr>
            <w:r>
              <w:rPr>
                <w:rFonts w:hint="eastAsia" w:ascii="宋体" w:hAnsi="宋体" w:eastAsia="宋体" w:cs="宋体"/>
                <w:b/>
                <w:bCs/>
                <w:color w:val="auto"/>
                <w:kern w:val="0"/>
                <w:sz w:val="18"/>
                <w:szCs w:val="18"/>
                <w:highlight w:val="none"/>
                <w:lang w:bidi="ar"/>
              </w:rPr>
              <w:t>体育教师</w:t>
            </w:r>
          </w:p>
        </w:tc>
        <w:tc>
          <w:tcPr>
            <w:tcW w:w="4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2.具有较强的专业能力，能够胜任能源学院体育课程教学工作，承担相应的教育教学科研工作；能熟练使用办公软件。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全日制本科，具有中级及以上职称，年龄45岁以下。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硕士研究生及以上学历，年龄35岁以下。</w:t>
            </w:r>
          </w:p>
        </w:tc>
        <w:tc>
          <w:tcPr>
            <w:tcW w:w="2183" w:type="dxa"/>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体育教育训练学、体育教学、运动训练专业，篮球、足球专项。</w:t>
            </w:r>
          </w:p>
        </w:tc>
      </w:tr>
      <w:tr>
        <w:tblPrEx>
          <w:tblCellMar>
            <w:top w:w="0" w:type="dxa"/>
            <w:left w:w="108" w:type="dxa"/>
            <w:bottom w:w="0" w:type="dxa"/>
            <w:right w:w="108" w:type="dxa"/>
          </w:tblCellMar>
        </w:tblPrEx>
        <w:trPr>
          <w:trHeight w:val="3240" w:hRule="atLeast"/>
          <w:jc w:val="center"/>
        </w:trPr>
        <w:tc>
          <w:tcPr>
            <w:tcW w:w="793" w:type="dxa"/>
            <w:vMerge w:val="continue"/>
            <w:tcBorders>
              <w:top w:val="nil"/>
              <w:left w:val="single" w:color="000000" w:sz="4" w:space="0"/>
              <w:bottom w:val="single" w:color="auto" w:sz="4" w:space="0"/>
              <w:right w:val="single" w:color="000000"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bidi="ar"/>
              </w:rPr>
            </w:pPr>
          </w:p>
        </w:tc>
        <w:tc>
          <w:tcPr>
            <w:tcW w:w="1660"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60" w:lineRule="exact"/>
              <w:ind w:left="0" w:right="0"/>
              <w:jc w:val="both"/>
              <w:rPr>
                <w:rFonts w:hint="eastAsia" w:ascii="宋体" w:hAnsi="宋体" w:eastAsia="宋体" w:cs="宋体"/>
                <w:b/>
                <w:bCs/>
                <w:kern w:val="0"/>
                <w:sz w:val="18"/>
                <w:szCs w:val="1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60" w:lineRule="exact"/>
              <w:ind w:left="0" w:right="0"/>
              <w:jc w:val="both"/>
              <w:rPr>
                <w:rFonts w:hint="eastAsia" w:ascii="宋体" w:hAnsi="宋体" w:eastAsia="宋体" w:cs="宋体"/>
                <w:b/>
                <w:bCs/>
                <w:kern w:val="0"/>
                <w:sz w:val="18"/>
                <w:szCs w:val="1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60" w:lineRule="exact"/>
              <w:ind w:left="0" w:right="0"/>
              <w:jc w:val="center"/>
              <w:rPr>
                <w:rFonts w:hint="eastAsia" w:ascii="宋体" w:hAnsi="宋体" w:eastAsia="宋体" w:cs="宋体"/>
                <w:b/>
                <w:bCs/>
                <w:kern w:val="0"/>
                <w:sz w:val="18"/>
                <w:szCs w:val="1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60" w:lineRule="exact"/>
              <w:ind w:left="0" w:right="0"/>
              <w:jc w:val="center"/>
              <w:rPr>
                <w:rFonts w:hint="eastAsia" w:ascii="宋体" w:hAnsi="宋体" w:eastAsia="宋体" w:cs="宋体"/>
                <w:b/>
                <w:bCs/>
                <w:kern w:val="0"/>
                <w:sz w:val="18"/>
                <w:szCs w:val="1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60" w:lineRule="exact"/>
              <w:ind w:left="0" w:right="0"/>
              <w:jc w:val="center"/>
              <w:rPr>
                <w:rFonts w:hint="eastAsia" w:ascii="宋体" w:hAnsi="宋体" w:eastAsia="宋体" w:cs="宋体"/>
                <w:b/>
                <w:bCs/>
                <w:kern w:val="0"/>
                <w:sz w:val="18"/>
                <w:szCs w:val="18"/>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60" w:lineRule="exact"/>
              <w:ind w:left="0" w:right="0"/>
              <w:jc w:val="center"/>
              <w:rPr>
                <w:rFonts w:hint="eastAsia" w:ascii="宋体" w:hAnsi="宋体" w:eastAsia="宋体" w:cs="宋体"/>
                <w:b/>
                <w:bCs/>
                <w:kern w:val="0"/>
                <w:sz w:val="18"/>
                <w:szCs w:val="18"/>
              </w:rPr>
            </w:pPr>
            <w:r>
              <w:rPr>
                <w:rFonts w:hint="eastAsia" w:ascii="宋体" w:hAnsi="宋体" w:eastAsia="宋体" w:cs="宋体"/>
                <w:b/>
                <w:bCs/>
                <w:kern w:val="0"/>
                <w:sz w:val="18"/>
                <w:szCs w:val="18"/>
                <w:lang w:val="en-US" w:eastAsia="zh-CN" w:bidi="ar"/>
              </w:rPr>
              <w:t>思政课教师</w:t>
            </w:r>
          </w:p>
          <w:p>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260" w:lineRule="exact"/>
              <w:ind w:left="0" w:leftChars="0" w:right="0" w:rightChars="0"/>
              <w:jc w:val="center"/>
              <w:rPr>
                <w:rFonts w:hint="eastAsia" w:ascii="宋体" w:hAnsi="宋体" w:eastAsia="宋体" w:cs="宋体"/>
                <w:b/>
                <w:bCs/>
                <w:kern w:val="0"/>
                <w:sz w:val="18"/>
                <w:szCs w:val="18"/>
                <w:lang w:val="en-US" w:eastAsia="zh-CN" w:bidi="ar-SA"/>
              </w:rPr>
            </w:pPr>
          </w:p>
        </w:tc>
        <w:tc>
          <w:tcPr>
            <w:tcW w:w="40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1.热爱教育事业，恪守职业道德，勤勉尽责，爱岗敬业；具有较强的语言表达能力和交流能力。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具有较强的专业能力，能够担任思想道德修养与法律基础、毛泽东思想和中国特色社会主义体系概论相关专业理论知识及实践教学，承担相应的教育教学科研工作；具备良好的沟通能力、计划与协调能力，较强的语言表达能力和应变能力。</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3.能吃苦耐劳，为人正直，有上进心、有责任心，做事严谨、认真、注重细节，能严格按照工作岗位职责要求开展工作。</w:t>
            </w:r>
          </w:p>
        </w:tc>
        <w:tc>
          <w:tcPr>
            <w:tcW w:w="700" w:type="dxa"/>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硕士研究生及以上学历，中共党员，年龄在35岁以下。具有副教授以上职称者，年龄45岁以下。</w:t>
            </w:r>
          </w:p>
        </w:tc>
        <w:tc>
          <w:tcPr>
            <w:tcW w:w="2183" w:type="dxa"/>
            <w:tcBorders>
              <w:top w:val="single" w:color="000000" w:sz="4" w:space="0"/>
              <w:left w:val="single" w:color="auto"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思想政治教育、马克思理论类、政治学类、哲学类、法学类专业。</w:t>
            </w:r>
          </w:p>
        </w:tc>
      </w:tr>
      <w:tr>
        <w:tblPrEx>
          <w:tblCellMar>
            <w:top w:w="0" w:type="dxa"/>
            <w:left w:w="108" w:type="dxa"/>
            <w:bottom w:w="0" w:type="dxa"/>
            <w:right w:w="108" w:type="dxa"/>
          </w:tblCellMar>
        </w:tblPrEx>
        <w:trPr>
          <w:trHeight w:val="6930" w:hRule="atLeast"/>
          <w:jc w:val="center"/>
        </w:trPr>
        <w:tc>
          <w:tcPr>
            <w:tcW w:w="793" w:type="dxa"/>
            <w:vMerge w:val="restart"/>
            <w:tcBorders>
              <w:top w:val="single" w:color="auto" w:sz="4" w:space="0"/>
              <w:left w:val="single" w:color="auto"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default" w:ascii="宋体" w:hAnsi="宋体" w:eastAsia="宋体" w:cs="宋体"/>
                <w:b/>
                <w:bCs/>
                <w:color w:val="auto"/>
                <w:kern w:val="0"/>
                <w:sz w:val="18"/>
                <w:szCs w:val="18"/>
                <w:highlight w:val="none"/>
                <w:lang w:val="en-US" w:eastAsia="zh-CN" w:bidi="ar"/>
              </w:rPr>
            </w:pPr>
            <w:r>
              <w:rPr>
                <w:rFonts w:hint="default" w:ascii="宋体" w:hAnsi="宋体" w:eastAsia="宋体" w:cs="宋体"/>
                <w:b/>
                <w:bCs/>
                <w:color w:val="auto"/>
                <w:kern w:val="0"/>
                <w:sz w:val="18"/>
                <w:szCs w:val="18"/>
                <w:highlight w:val="none"/>
                <w:lang w:val="en-US" w:eastAsia="zh-CN" w:bidi="ar"/>
              </w:rPr>
              <w:t>学工部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000000"/>
                <w:kern w:val="0"/>
                <w:sz w:val="18"/>
                <w:szCs w:val="18"/>
                <w:highlight w:val="green"/>
                <w:lang w:bidi="ar"/>
              </w:rPr>
            </w:pPr>
          </w:p>
        </w:tc>
        <w:tc>
          <w:tcPr>
            <w:tcW w:w="1660" w:type="dxa"/>
            <w:tcBorders>
              <w:top w:val="single" w:color="000000" w:sz="4" w:space="0"/>
              <w:left w:val="single" w:color="000000" w:sz="4" w:space="0"/>
              <w:bottom w:val="single" w:color="auto" w:sz="4" w:space="0"/>
              <w:right w:val="single" w:color="000000" w:sz="4" w:space="0"/>
            </w:tcBorders>
            <w:shd w:val="clear" w:color="auto" w:fill="FFFFFF"/>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60" w:lineRule="exact"/>
              <w:ind w:left="0" w:leftChars="0" w:right="0" w:rightChars="0"/>
              <w:jc w:val="center"/>
              <w:rPr>
                <w:rFonts w:hint="eastAsia" w:ascii="宋体" w:hAnsi="宋体" w:eastAsia="宋体" w:cs="宋体"/>
                <w:b/>
                <w:bCs/>
                <w:color w:val="auto"/>
                <w:kern w:val="0"/>
                <w:sz w:val="18"/>
                <w:szCs w:val="18"/>
                <w:highlight w:val="none"/>
                <w:lang w:val="en-US" w:eastAsia="zh-CN" w:bidi="ar"/>
              </w:rPr>
            </w:pPr>
            <w:r>
              <w:rPr>
                <w:rFonts w:hint="eastAsia" w:ascii="宋体" w:hAnsi="宋体" w:eastAsia="宋体" w:cs="宋体"/>
                <w:b/>
                <w:bCs/>
                <w:color w:val="auto"/>
                <w:kern w:val="0"/>
                <w:sz w:val="18"/>
                <w:szCs w:val="18"/>
                <w:highlight w:val="none"/>
                <w:lang w:val="en-US" w:eastAsia="zh-CN" w:bidi="ar"/>
              </w:rPr>
              <w:t>辅导员</w:t>
            </w:r>
          </w:p>
        </w:tc>
        <w:tc>
          <w:tcPr>
            <w:tcW w:w="4030"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开展思想政治教育与价值引领。策划组织主题教育活动，指导学生党团组织建设，指导和培养学生骨干，积极开展网络思想教育，指导校园文化建设和社会实践，讲授大学生职业生涯规划/就业指导/思政类课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2.开展学业指导与职业生涯教育。深入课堂了解学生学习状态，做好学生学业分析和指导工作，积极做好育人工作，指导学生开展职业规划，做好就业指导和服务；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3.负责学生日常管理工作。关注并掌握学生动态，深入宿舍关心学生生活，与学生家长保持及时沟通联系，做好学生贷款申请、评优评奖、勤工助学，妥善应对和处理危机事件；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4.开展心理健康教育。开展基础性心理健康教育，做好学生心理排查与帮扶，配合开展院级心理辅导工作；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5.负责班风建设、班级文化建设、学生思想教育、心理教育、纪律管理、安全管理、推优评先工作、贫困生工作、教学辅助工作等工作；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6.《高等学校辅导员职业能力标准（暂行）》中规定的其他内容。开展理论与实践研究。积极参与各类辅导员培训，加强理论研究；按照学校规定的工作任务，达到学校要求的数量和质量的考核要求。</w:t>
            </w:r>
          </w:p>
        </w:tc>
        <w:tc>
          <w:tcPr>
            <w:tcW w:w="700" w:type="dxa"/>
            <w:tcBorders>
              <w:top w:val="single" w:color="000000" w:sz="4" w:space="0"/>
              <w:left w:val="single" w:color="000000"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7</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1.中共党员，年龄30岁以下，全日制本科及以上学历。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2.身心健康，品行端正，思想政治素质过硬，无违法犯罪记录。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3.具有较强的团队合作能力、组织协调能力、语言文字表达能力，有较强的责任心。</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4.热爱学生思想政治教育工作，有志于长期从事学生工作。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5.具有思政类专业或与我校开设专业背景一致的优先。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6.有高校辅导员工作经验者、初级以上职称优先。</w:t>
            </w:r>
          </w:p>
        </w:tc>
        <w:tc>
          <w:tcPr>
            <w:tcW w:w="2183" w:type="dxa"/>
            <w:tcBorders>
              <w:top w:val="single" w:color="000000" w:sz="4" w:space="0"/>
              <w:left w:val="single" w:color="auto" w:sz="4" w:space="0"/>
              <w:bottom w:val="single" w:color="auto"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专业不限。</w:t>
            </w:r>
          </w:p>
        </w:tc>
      </w:tr>
      <w:tr>
        <w:tblPrEx>
          <w:tblCellMar>
            <w:top w:w="0" w:type="dxa"/>
            <w:left w:w="108" w:type="dxa"/>
            <w:bottom w:w="0" w:type="dxa"/>
            <w:right w:w="108" w:type="dxa"/>
          </w:tblCellMar>
        </w:tblPrEx>
        <w:trPr>
          <w:trHeight w:val="5480" w:hRule="atLeast"/>
          <w:jc w:val="center"/>
        </w:trPr>
        <w:tc>
          <w:tcPr>
            <w:tcW w:w="793" w:type="dxa"/>
            <w:vMerge w:val="continue"/>
            <w:tcBorders>
              <w:top w:val="nil"/>
              <w:left w:val="single" w:color="auto" w:sz="4" w:space="0"/>
              <w:bottom w:val="nil"/>
              <w:right w:val="single" w:color="auto"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113" w:right="113"/>
              <w:jc w:val="both"/>
              <w:textAlignment w:val="center"/>
              <w:rPr>
                <w:rFonts w:hint="eastAsia" w:ascii="宋体" w:hAnsi="宋体" w:eastAsia="宋体" w:cs="宋体"/>
                <w:b/>
                <w:bCs/>
                <w:color w:val="000000"/>
                <w:kern w:val="0"/>
                <w:sz w:val="18"/>
                <w:szCs w:val="18"/>
                <w:highlight w:val="green"/>
                <w:lang w:bidi="ar"/>
              </w:rPr>
            </w:pPr>
          </w:p>
        </w:tc>
        <w:tc>
          <w:tcPr>
            <w:tcW w:w="166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eastAsia" w:ascii="宋体" w:hAnsi="宋体" w:eastAsia="宋体" w:cs="宋体"/>
                <w:b/>
                <w:bCs/>
                <w:color w:val="FF0000"/>
                <w:kern w:val="0"/>
                <w:sz w:val="18"/>
                <w:szCs w:val="18"/>
                <w:highlight w:val="none"/>
                <w:lang w:val="en-US" w:eastAsia="zh-CN" w:bidi="ar"/>
                <w14:textFill>
                  <w14:gradFill>
                    <w14:gsLst>
                      <w14:gs w14:pos="0">
                        <w14:srgbClr w14:val="FBFB11"/>
                      </w14:gs>
                      <w14:gs w14:pos="100000">
                        <w14:srgbClr w14:val="838309"/>
                      </w14:gs>
                    </w14:gsLst>
                    <w14:lin w14:scaled="0"/>
                  </w14:gradFill>
                </w14:textFill>
              </w:rPr>
            </w:pPr>
            <w:r>
              <w:rPr>
                <w:rFonts w:hint="eastAsia" w:ascii="宋体" w:hAnsi="宋体" w:eastAsia="宋体" w:cs="宋体"/>
                <w:b/>
                <w:bCs/>
                <w:color w:val="auto"/>
                <w:kern w:val="0"/>
                <w:sz w:val="18"/>
                <w:szCs w:val="18"/>
                <w:highlight w:val="none"/>
                <w:lang w:bidi="ar"/>
              </w:rPr>
              <w:t>学生资助管理中心干事</w:t>
            </w:r>
          </w:p>
        </w:tc>
        <w:tc>
          <w:tcPr>
            <w:tcW w:w="403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1.制定学生助学体系规章制度及工作计划并组织实施，按时审核维护与资助相关的各类网站、系统；</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2.负责指导学院开展对家庭经济困难学生的认定工作，完成对全校贫困生材料的汇总、归档工作并建立全校家庭经济困难学生档案；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3.负责学生国家（省）和学校各类奖助学金的评定、审核、资金发放工作，开展在校学生诚信教育活动方案的制定与监督实施；</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4.负责应征入伍学生材料的复审、上报工作；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5.负责全校学生勤工助学岗位的核定与同相关部门做好勤工助学学生的考核工作；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6.负责生源地助学贷款回执的录入、贷款毕业生的基本信息采集及系统中毕业确认的指导等工作；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7.负责全校学生学平险、校方责任险、实习险等购买以及理赔工作；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8.完成上级领导交办的其他工作。</w:t>
            </w:r>
          </w:p>
        </w:tc>
        <w:tc>
          <w:tcPr>
            <w:tcW w:w="70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1.中共党员，年龄35岁以下，全日制本科及以上学历，初级及以上职称；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2.熟悉高职院校教育工作、学生资助、大学生应征入伍等政策法规；具有较强的专业能力，依法依规办事，恪守职业道德，坚持原则；</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3.在高职或应用型本科院校担任过2年及以上学生资助管理工作或从事学生资助工作5年以上的工作经验。</w:t>
            </w:r>
          </w:p>
        </w:tc>
        <w:tc>
          <w:tcPr>
            <w:tcW w:w="218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专业不限。</w:t>
            </w:r>
          </w:p>
        </w:tc>
      </w:tr>
      <w:tr>
        <w:tblPrEx>
          <w:tblCellMar>
            <w:top w:w="0" w:type="dxa"/>
            <w:left w:w="108" w:type="dxa"/>
            <w:bottom w:w="0" w:type="dxa"/>
            <w:right w:w="108" w:type="dxa"/>
          </w:tblCellMar>
        </w:tblPrEx>
        <w:trPr>
          <w:trHeight w:val="2790" w:hRule="atLeast"/>
          <w:jc w:val="center"/>
        </w:trPr>
        <w:tc>
          <w:tcPr>
            <w:tcW w:w="793" w:type="dxa"/>
            <w:vMerge w:val="continue"/>
            <w:tcBorders>
              <w:top w:val="nil"/>
              <w:left w:val="single" w:color="auto" w:sz="4" w:space="0"/>
              <w:bottom w:val="single" w:color="auto" w:sz="4" w:space="0"/>
              <w:right w:val="single" w:color="auto" w:sz="4" w:space="0"/>
            </w:tcBorders>
            <w:shd w:val="clear" w:color="auto" w:fill="auto"/>
            <w:noWrap/>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b/>
                <w:bCs/>
                <w:color w:val="000000"/>
                <w:kern w:val="0"/>
                <w:sz w:val="18"/>
                <w:szCs w:val="18"/>
                <w:highlight w:val="green"/>
                <w:lang w:bidi="ar"/>
              </w:rPr>
            </w:pPr>
          </w:p>
        </w:tc>
        <w:tc>
          <w:tcPr>
            <w:tcW w:w="166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jc w:val="center"/>
              <w:textAlignment w:val="center"/>
              <w:rPr>
                <w:rFonts w:hint="eastAsia" w:ascii="宋体" w:hAnsi="宋体" w:eastAsia="宋体" w:cs="宋体"/>
                <w:b/>
                <w:bCs/>
                <w:color w:val="auto"/>
                <w:kern w:val="0"/>
                <w:sz w:val="18"/>
                <w:szCs w:val="18"/>
                <w:highlight w:val="green"/>
                <w:lang w:val="en-US" w:eastAsia="zh-CN" w:bidi="ar"/>
              </w:rPr>
            </w:pPr>
            <w:r>
              <w:rPr>
                <w:rFonts w:hint="eastAsia" w:ascii="宋体" w:hAnsi="宋体" w:eastAsia="宋体" w:cs="宋体"/>
                <w:b/>
                <w:bCs/>
                <w:color w:val="auto"/>
                <w:kern w:val="0"/>
                <w:sz w:val="18"/>
                <w:szCs w:val="18"/>
                <w:highlight w:val="none"/>
                <w:lang w:val="en-US" w:eastAsia="zh-CN" w:bidi="ar"/>
              </w:rPr>
              <w:t>心理健康教育中心干事</w:t>
            </w:r>
          </w:p>
        </w:tc>
        <w:tc>
          <w:tcPr>
            <w:tcW w:w="403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1.能熟练运用人本、认知行为疗法、精神分析、沙盘等咨询技术，能独立咨询个案；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2.协助做好学校心理咨询、心理测评、心理讲座、团体辅导、心理健康教育活动、情绪减压等各类工作；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3.协助做好心理健康教育宣传工作，通过网络、报纸等各类媒介宣传普及心理健康知识；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4.必要时可承担《大学生心理健康教育》教学任务；</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5.完成上级领导交办的其他工作。</w:t>
            </w:r>
          </w:p>
        </w:tc>
        <w:tc>
          <w:tcPr>
            <w:tcW w:w="70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1</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中共党员，年龄35岁以下，硕士研究生及以上学历。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2.有个人及团体咨询经验。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3.有较好的文字功底，宣传及策划能力。</w:t>
            </w:r>
          </w:p>
        </w:tc>
        <w:tc>
          <w:tcPr>
            <w:tcW w:w="218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left"/>
              <w:textAlignment w:val="center"/>
              <w:rPr>
                <w:rFonts w:hint="eastAsia" w:ascii="宋体" w:hAnsi="宋体" w:eastAsia="宋体" w:cs="宋体"/>
                <w:color w:val="auto"/>
                <w:kern w:val="0"/>
                <w:sz w:val="18"/>
                <w:szCs w:val="18"/>
                <w:highlight w:val="none"/>
                <w:lang w:val="en-US" w:eastAsia="zh-CN" w:bidi="ar"/>
              </w:rPr>
            </w:pPr>
            <w:r>
              <w:rPr>
                <w:rFonts w:hint="eastAsia" w:ascii="宋体" w:hAnsi="宋体" w:eastAsia="宋体" w:cs="宋体"/>
                <w:color w:val="auto"/>
                <w:kern w:val="0"/>
                <w:sz w:val="18"/>
                <w:szCs w:val="18"/>
                <w:highlight w:val="none"/>
                <w:lang w:val="en-US" w:eastAsia="zh-CN" w:bidi="ar"/>
              </w:rPr>
              <w:t>心理学相关专业毕业且已经取得学历学位证书。</w:t>
            </w:r>
          </w:p>
        </w:tc>
      </w:tr>
      <w:tr>
        <w:tblPrEx>
          <w:tblCellMar>
            <w:top w:w="0" w:type="dxa"/>
            <w:left w:w="108" w:type="dxa"/>
            <w:bottom w:w="0" w:type="dxa"/>
            <w:right w:w="108" w:type="dxa"/>
          </w:tblCellMar>
        </w:tblPrEx>
        <w:trPr>
          <w:trHeight w:val="620" w:hRule="atLeast"/>
          <w:jc w:val="center"/>
        </w:trPr>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合计</w:t>
            </w:r>
          </w:p>
        </w:tc>
        <w:tc>
          <w:tcPr>
            <w:tcW w:w="16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exact"/>
              <w:ind w:left="0" w:right="0"/>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19</w:t>
            </w:r>
          </w:p>
        </w:tc>
        <w:tc>
          <w:tcPr>
            <w:tcW w:w="403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w:t>
            </w:r>
          </w:p>
        </w:tc>
        <w:tc>
          <w:tcPr>
            <w:tcW w:w="70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exact"/>
              <w:ind w:left="0" w:right="0"/>
              <w:jc w:val="center"/>
              <w:textAlignment w:val="cente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51</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w:t>
            </w:r>
          </w:p>
        </w:tc>
        <w:tc>
          <w:tcPr>
            <w:tcW w:w="218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exact"/>
              <w:ind w:left="0" w:right="0"/>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w:t>
            </w:r>
          </w:p>
        </w:tc>
      </w:tr>
    </w:tbl>
    <w:p>
      <w:pPr>
        <w:pStyle w:val="2"/>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rPr>
      </w:pPr>
    </w:p>
    <w:sectPr>
      <w:pgSz w:w="11906" w:h="16838"/>
      <w:pgMar w:top="1440" w:right="1800" w:bottom="1440" w:left="1800" w:header="851" w:footer="992" w:gutter="0"/>
      <w:pgNumType w:fmt="numberInDash"/>
      <w:cols w:space="425" w:num="1"/>
      <w:docGrid w:type="linesAndChars" w:linePitch="584"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Neue">
    <w:altName w:val="Segoe Print"/>
    <w:panose1 w:val="00000000000000000000"/>
    <w:charset w:val="00"/>
    <w:family w:val="auto"/>
    <w:pitch w:val="default"/>
    <w:sig w:usb0="00000000" w:usb1="00000000" w:usb2="00000000" w:usb3="00000000" w:csb0="00040001"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393065"/>
              <wp:effectExtent l="0" t="0" r="12065" b="635"/>
              <wp:wrapNone/>
              <wp:docPr id="1" name="文本框 1"/>
              <wp:cNvGraphicFramePr/>
              <a:graphic xmlns:a="http://schemas.openxmlformats.org/drawingml/2006/main">
                <a:graphicData uri="http://schemas.microsoft.com/office/word/2010/wordprocessingShape">
                  <wps:wsp>
                    <wps:cNvSpPr txBox="1"/>
                    <wps:spPr>
                      <a:xfrm>
                        <a:off x="0" y="0"/>
                        <a:ext cx="534035" cy="393065"/>
                      </a:xfrm>
                      <a:prstGeom prst="rect">
                        <a:avLst/>
                      </a:prstGeom>
                      <a:noFill/>
                      <a:ln w="6350">
                        <a:noFill/>
                      </a:ln>
                    </wps:spPr>
                    <wps:txbx>
                      <w:txbxContent>
                        <w:sdt>
                          <w:sdtPr>
                            <w:id w:val="1939748"/>
                          </w:sdtPr>
                          <w:sdtContent>
                            <w:p>
                              <w:pPr>
                                <w:pStyle w:val="7"/>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30.95pt;width:42.05pt;mso-position-horizontal:outside;mso-position-horizontal-relative:margin;mso-wrap-style:none;z-index:251659264;mso-width-relative:page;mso-height-relative:page;" filled="f" stroked="f" coordsize="21600,21600" o:gfxdata="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U9SFQ0gAAAAMBAAAPAAAAAAAAAAEAIAAAACIAAABkcnMvZG93bnJldi54bWxQSwECFAAU&#10;AAAACACHTuJA7VXOIDACAABTBAAADgAAAAAAAAABACAAAAAhAQAAZHJzL2Uyb0RvYy54bWxQSwUG&#10;AAAAAAYABgBZAQAAwwUAAAAA&#10;">
              <v:fill on="f" focussize="0,0"/>
              <v:stroke on="f" weight="0.5pt"/>
              <v:imagedata o:title=""/>
              <o:lock v:ext="edit" aspectratio="f"/>
              <v:textbox inset="0mm,0mm,0mm,0mm" style="mso-fit-shape-to-text:t;">
                <w:txbxContent>
                  <w:sdt>
                    <w:sdtPr>
                      <w:id w:val="1939748"/>
                    </w:sdtPr>
                    <w:sdtContent>
                      <w:p>
                        <w:pPr>
                          <w:pStyle w:val="7"/>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sdtContent>
                  </w:sd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45135" cy="393065"/>
              <wp:effectExtent l="0" t="0" r="12065" b="635"/>
              <wp:wrapNone/>
              <wp:docPr id="2" name="文本框 2"/>
              <wp:cNvGraphicFramePr/>
              <a:graphic xmlns:a="http://schemas.openxmlformats.org/drawingml/2006/main">
                <a:graphicData uri="http://schemas.microsoft.com/office/word/2010/wordprocessingShape">
                  <wps:wsp>
                    <wps:cNvSpPr txBox="1"/>
                    <wps:spPr>
                      <a:xfrm>
                        <a:off x="0" y="0"/>
                        <a:ext cx="445135" cy="393065"/>
                      </a:xfrm>
                      <a:prstGeom prst="rect">
                        <a:avLst/>
                      </a:prstGeom>
                      <a:noFill/>
                      <a:ln w="6350">
                        <a:noFill/>
                      </a:ln>
                    </wps:spPr>
                    <wps:txbx>
                      <w:txbxContent>
                        <w:sdt>
                          <w:sdtPr>
                            <w:id w:val="1939753"/>
                          </w:sdtPr>
                          <w:sdtContent>
                            <w:p>
                              <w:pPr>
                                <w:pStyle w:val="7"/>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w:t>
                              </w:r>
                              <w:r>
                                <w:rPr>
                                  <w:rFonts w:ascii="宋体" w:hAnsi="宋体"/>
                                  <w:sz w:val="28"/>
                                </w:rPr>
                                <w:t xml:space="preserve"> 12 -</w:t>
                              </w:r>
                              <w:r>
                                <w:rPr>
                                  <w:rFonts w:ascii="宋体" w:hAnsi="宋体"/>
                                  <w:sz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30.95pt;width:35.05pt;mso-position-horizontal:outside;mso-position-horizontal-relative:margin;mso-wrap-style:none;z-index:251660288;mso-width-relative:page;mso-height-relative:page;" filled="f" stroked="f" coordsize="21600,21600" o:gfxdata="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UwK0QAAAAMBAAAPAAAAAAAAAAEAIAAAACIAAABkcnMvZG93bnJldi54bWxQSwECFAAU&#10;AAAACACHTuJA826SIDECAABTBAAADgAAAAAAAAABACAAAAAgAQAAZHJzL2Uyb0RvYy54bWxQSwUG&#10;AAAAAAYABgBZAQAAwwUAAAAA&#10;">
              <v:fill on="f" focussize="0,0"/>
              <v:stroke on="f" weight="0.5pt"/>
              <v:imagedata o:title=""/>
              <o:lock v:ext="edit" aspectratio="f"/>
              <v:textbox inset="0mm,0mm,0mm,0mm" style="mso-fit-shape-to-text:t;">
                <w:txbxContent>
                  <w:sdt>
                    <w:sdtPr>
                      <w:id w:val="1939753"/>
                    </w:sdtPr>
                    <w:sdtContent>
                      <w:p>
                        <w:pPr>
                          <w:pStyle w:val="7"/>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w:t>
                        </w:r>
                        <w:r>
                          <w:rPr>
                            <w:rFonts w:ascii="宋体" w:hAnsi="宋体"/>
                            <w:sz w:val="28"/>
                          </w:rPr>
                          <w:t xml:space="preserve"> 12 -</w:t>
                        </w:r>
                        <w:r>
                          <w:rPr>
                            <w:rFonts w:ascii="宋体" w:hAnsi="宋体"/>
                            <w:sz w:val="28"/>
                          </w:rPr>
                          <w:fldChar w:fldCharType="end"/>
                        </w:r>
                      </w:p>
                    </w:sdtContent>
                  </w:sdt>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58"/>
  <w:drawingGridVerticalSpacing w:val="292"/>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86D"/>
    <w:rsid w:val="0000166A"/>
    <w:rsid w:val="000130B1"/>
    <w:rsid w:val="00026643"/>
    <w:rsid w:val="0003190B"/>
    <w:rsid w:val="00031EC8"/>
    <w:rsid w:val="00034707"/>
    <w:rsid w:val="00035A31"/>
    <w:rsid w:val="00036B27"/>
    <w:rsid w:val="00042E6F"/>
    <w:rsid w:val="00047C8C"/>
    <w:rsid w:val="00053495"/>
    <w:rsid w:val="0005367A"/>
    <w:rsid w:val="00057E61"/>
    <w:rsid w:val="000605E4"/>
    <w:rsid w:val="000629F2"/>
    <w:rsid w:val="000744B8"/>
    <w:rsid w:val="00074B67"/>
    <w:rsid w:val="00081165"/>
    <w:rsid w:val="000817BD"/>
    <w:rsid w:val="00085F3D"/>
    <w:rsid w:val="00087030"/>
    <w:rsid w:val="00087601"/>
    <w:rsid w:val="00090346"/>
    <w:rsid w:val="000A0127"/>
    <w:rsid w:val="000A33F5"/>
    <w:rsid w:val="000A38CA"/>
    <w:rsid w:val="000A618A"/>
    <w:rsid w:val="000B2C8B"/>
    <w:rsid w:val="000B5BB8"/>
    <w:rsid w:val="000B5F1A"/>
    <w:rsid w:val="000D1FCB"/>
    <w:rsid w:val="000D76E4"/>
    <w:rsid w:val="000E05F2"/>
    <w:rsid w:val="000F0567"/>
    <w:rsid w:val="00106DAC"/>
    <w:rsid w:val="001121CD"/>
    <w:rsid w:val="001153B4"/>
    <w:rsid w:val="00116F71"/>
    <w:rsid w:val="00122EDF"/>
    <w:rsid w:val="00131364"/>
    <w:rsid w:val="00152154"/>
    <w:rsid w:val="001524BC"/>
    <w:rsid w:val="00154870"/>
    <w:rsid w:val="00156309"/>
    <w:rsid w:val="0015640B"/>
    <w:rsid w:val="00167171"/>
    <w:rsid w:val="0018408B"/>
    <w:rsid w:val="00193496"/>
    <w:rsid w:val="001B2808"/>
    <w:rsid w:val="001B6727"/>
    <w:rsid w:val="001B70C4"/>
    <w:rsid w:val="001C1A4B"/>
    <w:rsid w:val="001D113D"/>
    <w:rsid w:val="001D121A"/>
    <w:rsid w:val="001D5EF6"/>
    <w:rsid w:val="001D6260"/>
    <w:rsid w:val="001D713D"/>
    <w:rsid w:val="001F151F"/>
    <w:rsid w:val="001F21CD"/>
    <w:rsid w:val="001F3811"/>
    <w:rsid w:val="001F4CB7"/>
    <w:rsid w:val="001F52FE"/>
    <w:rsid w:val="0020253F"/>
    <w:rsid w:val="00203D2E"/>
    <w:rsid w:val="00210478"/>
    <w:rsid w:val="00220892"/>
    <w:rsid w:val="0022360F"/>
    <w:rsid w:val="002258B3"/>
    <w:rsid w:val="002264D1"/>
    <w:rsid w:val="0022674A"/>
    <w:rsid w:val="002338F7"/>
    <w:rsid w:val="00233D13"/>
    <w:rsid w:val="00234336"/>
    <w:rsid w:val="00235168"/>
    <w:rsid w:val="002352BF"/>
    <w:rsid w:val="00237295"/>
    <w:rsid w:val="00241849"/>
    <w:rsid w:val="0024186D"/>
    <w:rsid w:val="00244F09"/>
    <w:rsid w:val="0024592A"/>
    <w:rsid w:val="002712B1"/>
    <w:rsid w:val="002713D4"/>
    <w:rsid w:val="00275362"/>
    <w:rsid w:val="00281573"/>
    <w:rsid w:val="002930DA"/>
    <w:rsid w:val="002B1454"/>
    <w:rsid w:val="002B18C1"/>
    <w:rsid w:val="002B568C"/>
    <w:rsid w:val="002C1567"/>
    <w:rsid w:val="002C5D52"/>
    <w:rsid w:val="002D2074"/>
    <w:rsid w:val="002D3BB7"/>
    <w:rsid w:val="002D6BEB"/>
    <w:rsid w:val="002E4564"/>
    <w:rsid w:val="002E48BA"/>
    <w:rsid w:val="002F0B42"/>
    <w:rsid w:val="002F12A7"/>
    <w:rsid w:val="002F2C00"/>
    <w:rsid w:val="002F652A"/>
    <w:rsid w:val="002F6A4C"/>
    <w:rsid w:val="002F70CF"/>
    <w:rsid w:val="003063CE"/>
    <w:rsid w:val="00311C13"/>
    <w:rsid w:val="003164E6"/>
    <w:rsid w:val="00327969"/>
    <w:rsid w:val="00327FAE"/>
    <w:rsid w:val="00343BDA"/>
    <w:rsid w:val="00363EB8"/>
    <w:rsid w:val="0036555A"/>
    <w:rsid w:val="00366DF7"/>
    <w:rsid w:val="00371F44"/>
    <w:rsid w:val="00377DCD"/>
    <w:rsid w:val="00382E8D"/>
    <w:rsid w:val="00383B02"/>
    <w:rsid w:val="003858AA"/>
    <w:rsid w:val="00391208"/>
    <w:rsid w:val="00391DFA"/>
    <w:rsid w:val="00397EEA"/>
    <w:rsid w:val="003A1CAA"/>
    <w:rsid w:val="003A1E96"/>
    <w:rsid w:val="003A7307"/>
    <w:rsid w:val="003B3C98"/>
    <w:rsid w:val="003C4134"/>
    <w:rsid w:val="003D391F"/>
    <w:rsid w:val="003E0FC8"/>
    <w:rsid w:val="003F3B93"/>
    <w:rsid w:val="003F7692"/>
    <w:rsid w:val="00402065"/>
    <w:rsid w:val="004144F3"/>
    <w:rsid w:val="004161BB"/>
    <w:rsid w:val="00417ACB"/>
    <w:rsid w:val="00425DDC"/>
    <w:rsid w:val="00431C17"/>
    <w:rsid w:val="0043755B"/>
    <w:rsid w:val="00445198"/>
    <w:rsid w:val="004524B6"/>
    <w:rsid w:val="00452DFA"/>
    <w:rsid w:val="00466AE4"/>
    <w:rsid w:val="00467003"/>
    <w:rsid w:val="00467474"/>
    <w:rsid w:val="004714F9"/>
    <w:rsid w:val="00471788"/>
    <w:rsid w:val="00475426"/>
    <w:rsid w:val="00480257"/>
    <w:rsid w:val="00486E25"/>
    <w:rsid w:val="004946CC"/>
    <w:rsid w:val="004948DE"/>
    <w:rsid w:val="00494FC2"/>
    <w:rsid w:val="00495B9D"/>
    <w:rsid w:val="004A3B8D"/>
    <w:rsid w:val="004A72B4"/>
    <w:rsid w:val="004B7B12"/>
    <w:rsid w:val="004C381F"/>
    <w:rsid w:val="004D1ABD"/>
    <w:rsid w:val="004D24CC"/>
    <w:rsid w:val="004D331D"/>
    <w:rsid w:val="004D535D"/>
    <w:rsid w:val="004D56F1"/>
    <w:rsid w:val="004D6F0B"/>
    <w:rsid w:val="004D7B04"/>
    <w:rsid w:val="004E0D75"/>
    <w:rsid w:val="004E18EA"/>
    <w:rsid w:val="004E2681"/>
    <w:rsid w:val="004E4C15"/>
    <w:rsid w:val="004F171A"/>
    <w:rsid w:val="004F73E3"/>
    <w:rsid w:val="00502DD1"/>
    <w:rsid w:val="00507DF0"/>
    <w:rsid w:val="005252E9"/>
    <w:rsid w:val="00525D69"/>
    <w:rsid w:val="00535BE6"/>
    <w:rsid w:val="00542FFE"/>
    <w:rsid w:val="00546164"/>
    <w:rsid w:val="005505F9"/>
    <w:rsid w:val="005565F3"/>
    <w:rsid w:val="00557779"/>
    <w:rsid w:val="00567659"/>
    <w:rsid w:val="00571497"/>
    <w:rsid w:val="00573DB3"/>
    <w:rsid w:val="0057478D"/>
    <w:rsid w:val="00575E28"/>
    <w:rsid w:val="005902D4"/>
    <w:rsid w:val="00590CA4"/>
    <w:rsid w:val="00595BF1"/>
    <w:rsid w:val="005962FF"/>
    <w:rsid w:val="005A2C87"/>
    <w:rsid w:val="005B2D3E"/>
    <w:rsid w:val="005B62AC"/>
    <w:rsid w:val="005B6757"/>
    <w:rsid w:val="005C1DAC"/>
    <w:rsid w:val="005C2B6B"/>
    <w:rsid w:val="005D0B71"/>
    <w:rsid w:val="005F6945"/>
    <w:rsid w:val="006029F7"/>
    <w:rsid w:val="00602DD8"/>
    <w:rsid w:val="006041EA"/>
    <w:rsid w:val="00620B1B"/>
    <w:rsid w:val="00623D5E"/>
    <w:rsid w:val="00625DB9"/>
    <w:rsid w:val="00632375"/>
    <w:rsid w:val="006356FA"/>
    <w:rsid w:val="0064050B"/>
    <w:rsid w:val="00657DEE"/>
    <w:rsid w:val="00662A78"/>
    <w:rsid w:val="00666F9C"/>
    <w:rsid w:val="0066775A"/>
    <w:rsid w:val="00670AED"/>
    <w:rsid w:val="006779C7"/>
    <w:rsid w:val="00683457"/>
    <w:rsid w:val="00683BD2"/>
    <w:rsid w:val="0068791B"/>
    <w:rsid w:val="006A2F58"/>
    <w:rsid w:val="006A75C5"/>
    <w:rsid w:val="006B112A"/>
    <w:rsid w:val="006B2D47"/>
    <w:rsid w:val="006C20D4"/>
    <w:rsid w:val="006C7699"/>
    <w:rsid w:val="006D0F48"/>
    <w:rsid w:val="006D4E1B"/>
    <w:rsid w:val="006D5060"/>
    <w:rsid w:val="006D7358"/>
    <w:rsid w:val="006E354C"/>
    <w:rsid w:val="006E4EE4"/>
    <w:rsid w:val="006E56F9"/>
    <w:rsid w:val="00700CBE"/>
    <w:rsid w:val="00701AD4"/>
    <w:rsid w:val="007102DB"/>
    <w:rsid w:val="007125E2"/>
    <w:rsid w:val="00713068"/>
    <w:rsid w:val="007229BA"/>
    <w:rsid w:val="007275EE"/>
    <w:rsid w:val="0073104A"/>
    <w:rsid w:val="007314D0"/>
    <w:rsid w:val="00733349"/>
    <w:rsid w:val="00735DC3"/>
    <w:rsid w:val="00736CE0"/>
    <w:rsid w:val="0074416F"/>
    <w:rsid w:val="007478E4"/>
    <w:rsid w:val="00747E7D"/>
    <w:rsid w:val="00750755"/>
    <w:rsid w:val="00764BD5"/>
    <w:rsid w:val="0077173D"/>
    <w:rsid w:val="00771A39"/>
    <w:rsid w:val="00777298"/>
    <w:rsid w:val="00780E00"/>
    <w:rsid w:val="007816F4"/>
    <w:rsid w:val="00783231"/>
    <w:rsid w:val="007857F5"/>
    <w:rsid w:val="007A213A"/>
    <w:rsid w:val="007B213B"/>
    <w:rsid w:val="007B46A4"/>
    <w:rsid w:val="007B5FB7"/>
    <w:rsid w:val="007C2CCA"/>
    <w:rsid w:val="007C76DA"/>
    <w:rsid w:val="007D0DD2"/>
    <w:rsid w:val="007D31DB"/>
    <w:rsid w:val="007D7F8C"/>
    <w:rsid w:val="0080336C"/>
    <w:rsid w:val="00805532"/>
    <w:rsid w:val="008127C1"/>
    <w:rsid w:val="0081300B"/>
    <w:rsid w:val="00820963"/>
    <w:rsid w:val="0082611F"/>
    <w:rsid w:val="00833D6B"/>
    <w:rsid w:val="00836778"/>
    <w:rsid w:val="00841C7E"/>
    <w:rsid w:val="00850FF5"/>
    <w:rsid w:val="00852430"/>
    <w:rsid w:val="00864E95"/>
    <w:rsid w:val="00871E27"/>
    <w:rsid w:val="008761CB"/>
    <w:rsid w:val="00881BCE"/>
    <w:rsid w:val="00890076"/>
    <w:rsid w:val="00892005"/>
    <w:rsid w:val="00893202"/>
    <w:rsid w:val="00893C38"/>
    <w:rsid w:val="00893F76"/>
    <w:rsid w:val="008A300C"/>
    <w:rsid w:val="008A3A9E"/>
    <w:rsid w:val="008C1D8F"/>
    <w:rsid w:val="008E3CD9"/>
    <w:rsid w:val="008F080C"/>
    <w:rsid w:val="008F36A4"/>
    <w:rsid w:val="008F7B7D"/>
    <w:rsid w:val="008F7DB9"/>
    <w:rsid w:val="009026F1"/>
    <w:rsid w:val="00904064"/>
    <w:rsid w:val="00906183"/>
    <w:rsid w:val="00923A51"/>
    <w:rsid w:val="00927CA2"/>
    <w:rsid w:val="00932FC8"/>
    <w:rsid w:val="00934054"/>
    <w:rsid w:val="00936824"/>
    <w:rsid w:val="00942DD4"/>
    <w:rsid w:val="00956F3B"/>
    <w:rsid w:val="00963225"/>
    <w:rsid w:val="00963EF9"/>
    <w:rsid w:val="00966AB8"/>
    <w:rsid w:val="009739EE"/>
    <w:rsid w:val="00975D85"/>
    <w:rsid w:val="00980240"/>
    <w:rsid w:val="009A3D97"/>
    <w:rsid w:val="009C0CB3"/>
    <w:rsid w:val="009C698C"/>
    <w:rsid w:val="009E2B7C"/>
    <w:rsid w:val="009E5095"/>
    <w:rsid w:val="009E7A28"/>
    <w:rsid w:val="009F01BD"/>
    <w:rsid w:val="009F4A4C"/>
    <w:rsid w:val="00A009E9"/>
    <w:rsid w:val="00A01078"/>
    <w:rsid w:val="00A03E94"/>
    <w:rsid w:val="00A04D0F"/>
    <w:rsid w:val="00A06972"/>
    <w:rsid w:val="00A10DE7"/>
    <w:rsid w:val="00A15B7D"/>
    <w:rsid w:val="00A17694"/>
    <w:rsid w:val="00A24751"/>
    <w:rsid w:val="00A3281A"/>
    <w:rsid w:val="00A34DCC"/>
    <w:rsid w:val="00A40EBB"/>
    <w:rsid w:val="00A41462"/>
    <w:rsid w:val="00A420DE"/>
    <w:rsid w:val="00A432C7"/>
    <w:rsid w:val="00A45579"/>
    <w:rsid w:val="00A5006B"/>
    <w:rsid w:val="00A50BE6"/>
    <w:rsid w:val="00A54F1C"/>
    <w:rsid w:val="00A608EE"/>
    <w:rsid w:val="00A64011"/>
    <w:rsid w:val="00A6503D"/>
    <w:rsid w:val="00A8089B"/>
    <w:rsid w:val="00A80A32"/>
    <w:rsid w:val="00A81360"/>
    <w:rsid w:val="00AA0EC4"/>
    <w:rsid w:val="00AA6E84"/>
    <w:rsid w:val="00AB0474"/>
    <w:rsid w:val="00AB29EF"/>
    <w:rsid w:val="00AD585A"/>
    <w:rsid w:val="00AD71B4"/>
    <w:rsid w:val="00AE1A95"/>
    <w:rsid w:val="00AE3C1D"/>
    <w:rsid w:val="00B07A9F"/>
    <w:rsid w:val="00B15D1A"/>
    <w:rsid w:val="00B178E0"/>
    <w:rsid w:val="00B21D81"/>
    <w:rsid w:val="00B25EDD"/>
    <w:rsid w:val="00B32DDE"/>
    <w:rsid w:val="00B35471"/>
    <w:rsid w:val="00B54EF0"/>
    <w:rsid w:val="00B64591"/>
    <w:rsid w:val="00B74C8F"/>
    <w:rsid w:val="00B82E7A"/>
    <w:rsid w:val="00B96169"/>
    <w:rsid w:val="00B967AE"/>
    <w:rsid w:val="00BA3B3E"/>
    <w:rsid w:val="00BA6AEB"/>
    <w:rsid w:val="00BB3362"/>
    <w:rsid w:val="00BB5ECA"/>
    <w:rsid w:val="00BB7CB1"/>
    <w:rsid w:val="00BC0622"/>
    <w:rsid w:val="00BC1AC0"/>
    <w:rsid w:val="00BC3CEF"/>
    <w:rsid w:val="00BD0981"/>
    <w:rsid w:val="00BF227F"/>
    <w:rsid w:val="00BF639F"/>
    <w:rsid w:val="00C010C3"/>
    <w:rsid w:val="00C03328"/>
    <w:rsid w:val="00C13AFB"/>
    <w:rsid w:val="00C14DD8"/>
    <w:rsid w:val="00C154FE"/>
    <w:rsid w:val="00C21C32"/>
    <w:rsid w:val="00C22F0E"/>
    <w:rsid w:val="00C303B7"/>
    <w:rsid w:val="00C327E5"/>
    <w:rsid w:val="00C42C68"/>
    <w:rsid w:val="00C43A76"/>
    <w:rsid w:val="00C460D3"/>
    <w:rsid w:val="00C50F55"/>
    <w:rsid w:val="00C52CC0"/>
    <w:rsid w:val="00C52F7B"/>
    <w:rsid w:val="00C62422"/>
    <w:rsid w:val="00C65D9A"/>
    <w:rsid w:val="00C6698E"/>
    <w:rsid w:val="00C675B4"/>
    <w:rsid w:val="00C72C9C"/>
    <w:rsid w:val="00C73E3A"/>
    <w:rsid w:val="00C81865"/>
    <w:rsid w:val="00C83AB4"/>
    <w:rsid w:val="00C86277"/>
    <w:rsid w:val="00C905A9"/>
    <w:rsid w:val="00C9084E"/>
    <w:rsid w:val="00C9092E"/>
    <w:rsid w:val="00C9200E"/>
    <w:rsid w:val="00C9235D"/>
    <w:rsid w:val="00CA291C"/>
    <w:rsid w:val="00CB08E3"/>
    <w:rsid w:val="00CB5475"/>
    <w:rsid w:val="00CC0D3C"/>
    <w:rsid w:val="00CC5992"/>
    <w:rsid w:val="00CC7D80"/>
    <w:rsid w:val="00CE24E1"/>
    <w:rsid w:val="00CE367A"/>
    <w:rsid w:val="00CE3A48"/>
    <w:rsid w:val="00CE4A78"/>
    <w:rsid w:val="00CE58FF"/>
    <w:rsid w:val="00D02B95"/>
    <w:rsid w:val="00D043D3"/>
    <w:rsid w:val="00D05E46"/>
    <w:rsid w:val="00D10981"/>
    <w:rsid w:val="00D1632F"/>
    <w:rsid w:val="00D17750"/>
    <w:rsid w:val="00D211AC"/>
    <w:rsid w:val="00D250E6"/>
    <w:rsid w:val="00D27E4D"/>
    <w:rsid w:val="00D338F7"/>
    <w:rsid w:val="00D36D95"/>
    <w:rsid w:val="00D41333"/>
    <w:rsid w:val="00D478EC"/>
    <w:rsid w:val="00D5672D"/>
    <w:rsid w:val="00D601EE"/>
    <w:rsid w:val="00D61709"/>
    <w:rsid w:val="00D64ACA"/>
    <w:rsid w:val="00D7472B"/>
    <w:rsid w:val="00D75761"/>
    <w:rsid w:val="00D75E8F"/>
    <w:rsid w:val="00D82B02"/>
    <w:rsid w:val="00D878DA"/>
    <w:rsid w:val="00D91A0D"/>
    <w:rsid w:val="00D93430"/>
    <w:rsid w:val="00D93DFB"/>
    <w:rsid w:val="00D94068"/>
    <w:rsid w:val="00D97A40"/>
    <w:rsid w:val="00D97DFD"/>
    <w:rsid w:val="00DA2381"/>
    <w:rsid w:val="00DA3204"/>
    <w:rsid w:val="00DA5D10"/>
    <w:rsid w:val="00DA7818"/>
    <w:rsid w:val="00DB1A57"/>
    <w:rsid w:val="00DC2464"/>
    <w:rsid w:val="00DD40FC"/>
    <w:rsid w:val="00DD5553"/>
    <w:rsid w:val="00DE1C67"/>
    <w:rsid w:val="00DE7EDA"/>
    <w:rsid w:val="00DF1B8D"/>
    <w:rsid w:val="00DF5130"/>
    <w:rsid w:val="00DF63A8"/>
    <w:rsid w:val="00DF7F15"/>
    <w:rsid w:val="00E029BE"/>
    <w:rsid w:val="00E040B2"/>
    <w:rsid w:val="00E05AF4"/>
    <w:rsid w:val="00E11328"/>
    <w:rsid w:val="00E13B8C"/>
    <w:rsid w:val="00E163E1"/>
    <w:rsid w:val="00E2123C"/>
    <w:rsid w:val="00E2469F"/>
    <w:rsid w:val="00E250C6"/>
    <w:rsid w:val="00E27BAE"/>
    <w:rsid w:val="00E306BD"/>
    <w:rsid w:val="00E40680"/>
    <w:rsid w:val="00E50511"/>
    <w:rsid w:val="00E5061E"/>
    <w:rsid w:val="00E51372"/>
    <w:rsid w:val="00E530E7"/>
    <w:rsid w:val="00E56616"/>
    <w:rsid w:val="00E64C53"/>
    <w:rsid w:val="00E65414"/>
    <w:rsid w:val="00E7091A"/>
    <w:rsid w:val="00E70B0D"/>
    <w:rsid w:val="00E742AF"/>
    <w:rsid w:val="00E835EA"/>
    <w:rsid w:val="00E86410"/>
    <w:rsid w:val="00E87E79"/>
    <w:rsid w:val="00E94FC9"/>
    <w:rsid w:val="00E9611A"/>
    <w:rsid w:val="00EA1BB4"/>
    <w:rsid w:val="00EA3C44"/>
    <w:rsid w:val="00EA44F7"/>
    <w:rsid w:val="00EA67EF"/>
    <w:rsid w:val="00EB2335"/>
    <w:rsid w:val="00EB5775"/>
    <w:rsid w:val="00EC5165"/>
    <w:rsid w:val="00ED07A0"/>
    <w:rsid w:val="00ED46D0"/>
    <w:rsid w:val="00ED76BA"/>
    <w:rsid w:val="00EE0E14"/>
    <w:rsid w:val="00EE17C5"/>
    <w:rsid w:val="00EE1B68"/>
    <w:rsid w:val="00EE404D"/>
    <w:rsid w:val="00EE4814"/>
    <w:rsid w:val="00F0132B"/>
    <w:rsid w:val="00F022CF"/>
    <w:rsid w:val="00F06330"/>
    <w:rsid w:val="00F10A92"/>
    <w:rsid w:val="00F143EA"/>
    <w:rsid w:val="00F1727D"/>
    <w:rsid w:val="00F21C8C"/>
    <w:rsid w:val="00F245F6"/>
    <w:rsid w:val="00F31ACC"/>
    <w:rsid w:val="00F32D95"/>
    <w:rsid w:val="00F3577F"/>
    <w:rsid w:val="00F37CF8"/>
    <w:rsid w:val="00F40B17"/>
    <w:rsid w:val="00F46B45"/>
    <w:rsid w:val="00F46F6C"/>
    <w:rsid w:val="00F531E5"/>
    <w:rsid w:val="00F56312"/>
    <w:rsid w:val="00F5685A"/>
    <w:rsid w:val="00F62A33"/>
    <w:rsid w:val="00F66E9A"/>
    <w:rsid w:val="00F74C36"/>
    <w:rsid w:val="00F775D4"/>
    <w:rsid w:val="00F81233"/>
    <w:rsid w:val="00F831AD"/>
    <w:rsid w:val="00F8625A"/>
    <w:rsid w:val="00F948CD"/>
    <w:rsid w:val="00FA07D5"/>
    <w:rsid w:val="00FA1ADB"/>
    <w:rsid w:val="00FA3DB3"/>
    <w:rsid w:val="00FA42A2"/>
    <w:rsid w:val="00FB5D0D"/>
    <w:rsid w:val="00FB6947"/>
    <w:rsid w:val="00FB6F0A"/>
    <w:rsid w:val="00FB7589"/>
    <w:rsid w:val="00FC1ABF"/>
    <w:rsid w:val="00FC2FB2"/>
    <w:rsid w:val="00FD2B4A"/>
    <w:rsid w:val="00FD6417"/>
    <w:rsid w:val="00FE7271"/>
    <w:rsid w:val="00FE7A5C"/>
    <w:rsid w:val="00FF33F5"/>
    <w:rsid w:val="00FF7830"/>
    <w:rsid w:val="011A36B0"/>
    <w:rsid w:val="013F5118"/>
    <w:rsid w:val="01616ABA"/>
    <w:rsid w:val="01922181"/>
    <w:rsid w:val="01C218C7"/>
    <w:rsid w:val="02145AEF"/>
    <w:rsid w:val="023F7B74"/>
    <w:rsid w:val="024D1387"/>
    <w:rsid w:val="02752090"/>
    <w:rsid w:val="02E20A77"/>
    <w:rsid w:val="030A0273"/>
    <w:rsid w:val="03562560"/>
    <w:rsid w:val="03697574"/>
    <w:rsid w:val="036A3F53"/>
    <w:rsid w:val="036E2BF1"/>
    <w:rsid w:val="03752CFF"/>
    <w:rsid w:val="037C26A4"/>
    <w:rsid w:val="03891D0A"/>
    <w:rsid w:val="03931452"/>
    <w:rsid w:val="03D81B94"/>
    <w:rsid w:val="03EC50B7"/>
    <w:rsid w:val="044879B7"/>
    <w:rsid w:val="045344A6"/>
    <w:rsid w:val="04A9204F"/>
    <w:rsid w:val="04AE7B3F"/>
    <w:rsid w:val="04D86DA4"/>
    <w:rsid w:val="04F5307B"/>
    <w:rsid w:val="051B6125"/>
    <w:rsid w:val="05554918"/>
    <w:rsid w:val="055B17EB"/>
    <w:rsid w:val="05796554"/>
    <w:rsid w:val="058F351F"/>
    <w:rsid w:val="05A31FC2"/>
    <w:rsid w:val="05AF2F6D"/>
    <w:rsid w:val="05BC07AE"/>
    <w:rsid w:val="05CA40E9"/>
    <w:rsid w:val="05D747CD"/>
    <w:rsid w:val="05E05E1E"/>
    <w:rsid w:val="0644637C"/>
    <w:rsid w:val="066411A2"/>
    <w:rsid w:val="0698505C"/>
    <w:rsid w:val="06A706A9"/>
    <w:rsid w:val="0742113F"/>
    <w:rsid w:val="07DF2A47"/>
    <w:rsid w:val="083700E7"/>
    <w:rsid w:val="08466CBA"/>
    <w:rsid w:val="084E3A04"/>
    <w:rsid w:val="08750010"/>
    <w:rsid w:val="087A02A1"/>
    <w:rsid w:val="088644F8"/>
    <w:rsid w:val="09135208"/>
    <w:rsid w:val="09320C07"/>
    <w:rsid w:val="09386AB4"/>
    <w:rsid w:val="09531CCE"/>
    <w:rsid w:val="095E68C0"/>
    <w:rsid w:val="09A62213"/>
    <w:rsid w:val="09D32B03"/>
    <w:rsid w:val="0A01632D"/>
    <w:rsid w:val="0A121F5E"/>
    <w:rsid w:val="0A347852"/>
    <w:rsid w:val="0A65042F"/>
    <w:rsid w:val="0AA14DC7"/>
    <w:rsid w:val="0ABC3716"/>
    <w:rsid w:val="0AFA3627"/>
    <w:rsid w:val="0B1D390C"/>
    <w:rsid w:val="0B3D6C9B"/>
    <w:rsid w:val="0B4F282E"/>
    <w:rsid w:val="0B8E205E"/>
    <w:rsid w:val="0BA4456E"/>
    <w:rsid w:val="0CA749A6"/>
    <w:rsid w:val="0CEA3804"/>
    <w:rsid w:val="0CFF1D09"/>
    <w:rsid w:val="0D0907E9"/>
    <w:rsid w:val="0D372C57"/>
    <w:rsid w:val="0D6C23EF"/>
    <w:rsid w:val="0D706D2C"/>
    <w:rsid w:val="0DBE7D8E"/>
    <w:rsid w:val="0DC00DD9"/>
    <w:rsid w:val="0DD85037"/>
    <w:rsid w:val="0DF277B9"/>
    <w:rsid w:val="0E7503F3"/>
    <w:rsid w:val="0E996B45"/>
    <w:rsid w:val="0EBE1983"/>
    <w:rsid w:val="0EEF6896"/>
    <w:rsid w:val="0F38069E"/>
    <w:rsid w:val="0F405253"/>
    <w:rsid w:val="0F715162"/>
    <w:rsid w:val="0FA45494"/>
    <w:rsid w:val="0FDB33B2"/>
    <w:rsid w:val="0FFA2C50"/>
    <w:rsid w:val="100732CC"/>
    <w:rsid w:val="103A27C2"/>
    <w:rsid w:val="10441A6D"/>
    <w:rsid w:val="105A5FBA"/>
    <w:rsid w:val="107744CD"/>
    <w:rsid w:val="109B24B1"/>
    <w:rsid w:val="10CE6C3E"/>
    <w:rsid w:val="10D72469"/>
    <w:rsid w:val="114C5275"/>
    <w:rsid w:val="116740D9"/>
    <w:rsid w:val="11925C61"/>
    <w:rsid w:val="11F8347B"/>
    <w:rsid w:val="121D2552"/>
    <w:rsid w:val="12556A2B"/>
    <w:rsid w:val="12851F66"/>
    <w:rsid w:val="12AB5FB5"/>
    <w:rsid w:val="12B34EF2"/>
    <w:rsid w:val="131D3B13"/>
    <w:rsid w:val="138E3052"/>
    <w:rsid w:val="13A63B1B"/>
    <w:rsid w:val="13B67745"/>
    <w:rsid w:val="142C3586"/>
    <w:rsid w:val="14322581"/>
    <w:rsid w:val="143B754F"/>
    <w:rsid w:val="1465665B"/>
    <w:rsid w:val="148A09D6"/>
    <w:rsid w:val="14E92226"/>
    <w:rsid w:val="14F7611D"/>
    <w:rsid w:val="14FC1BB5"/>
    <w:rsid w:val="15045487"/>
    <w:rsid w:val="151D3DF5"/>
    <w:rsid w:val="15601C5A"/>
    <w:rsid w:val="156A367C"/>
    <w:rsid w:val="157C43D3"/>
    <w:rsid w:val="1586231C"/>
    <w:rsid w:val="15B43E9F"/>
    <w:rsid w:val="15EA5C8B"/>
    <w:rsid w:val="15F11F70"/>
    <w:rsid w:val="16066FF3"/>
    <w:rsid w:val="162C5F29"/>
    <w:rsid w:val="16494809"/>
    <w:rsid w:val="16746EA5"/>
    <w:rsid w:val="167E7547"/>
    <w:rsid w:val="167F47BA"/>
    <w:rsid w:val="168C7530"/>
    <w:rsid w:val="16A84D82"/>
    <w:rsid w:val="17517090"/>
    <w:rsid w:val="17BE5AC5"/>
    <w:rsid w:val="17EE07CD"/>
    <w:rsid w:val="17F86EF8"/>
    <w:rsid w:val="183D7A0C"/>
    <w:rsid w:val="18BD3CD2"/>
    <w:rsid w:val="18C7213D"/>
    <w:rsid w:val="18E52464"/>
    <w:rsid w:val="1964154A"/>
    <w:rsid w:val="196830D6"/>
    <w:rsid w:val="1A1E540D"/>
    <w:rsid w:val="1A48014A"/>
    <w:rsid w:val="1A4818CA"/>
    <w:rsid w:val="1A5913EC"/>
    <w:rsid w:val="1A97320A"/>
    <w:rsid w:val="1AB36F78"/>
    <w:rsid w:val="1ABE734D"/>
    <w:rsid w:val="1AD452B5"/>
    <w:rsid w:val="1ADA038C"/>
    <w:rsid w:val="1B125D47"/>
    <w:rsid w:val="1B420388"/>
    <w:rsid w:val="1B5C5684"/>
    <w:rsid w:val="1B992869"/>
    <w:rsid w:val="1BB96DC0"/>
    <w:rsid w:val="1C4E47E2"/>
    <w:rsid w:val="1C5F3C41"/>
    <w:rsid w:val="1D0669F1"/>
    <w:rsid w:val="1D271165"/>
    <w:rsid w:val="1D4D12E1"/>
    <w:rsid w:val="1D567850"/>
    <w:rsid w:val="1D7231AE"/>
    <w:rsid w:val="1D8A27B6"/>
    <w:rsid w:val="1DA265CC"/>
    <w:rsid w:val="1DC56161"/>
    <w:rsid w:val="1DD60134"/>
    <w:rsid w:val="1DF46D34"/>
    <w:rsid w:val="1E092E3D"/>
    <w:rsid w:val="1E6A6D91"/>
    <w:rsid w:val="1E766104"/>
    <w:rsid w:val="1ECA6103"/>
    <w:rsid w:val="1EFD75A3"/>
    <w:rsid w:val="1F0364E9"/>
    <w:rsid w:val="1F292827"/>
    <w:rsid w:val="1F682EE7"/>
    <w:rsid w:val="1F6D2AF7"/>
    <w:rsid w:val="1F6F2A1E"/>
    <w:rsid w:val="1F8D088A"/>
    <w:rsid w:val="1FDE584B"/>
    <w:rsid w:val="200E3EC5"/>
    <w:rsid w:val="2056535E"/>
    <w:rsid w:val="20582F2B"/>
    <w:rsid w:val="20627639"/>
    <w:rsid w:val="20D0136F"/>
    <w:rsid w:val="21006374"/>
    <w:rsid w:val="214227AC"/>
    <w:rsid w:val="214C2ABA"/>
    <w:rsid w:val="21584B89"/>
    <w:rsid w:val="21A24E00"/>
    <w:rsid w:val="21B75357"/>
    <w:rsid w:val="21C83F50"/>
    <w:rsid w:val="22191A26"/>
    <w:rsid w:val="228E0512"/>
    <w:rsid w:val="229A38BE"/>
    <w:rsid w:val="229B0BA8"/>
    <w:rsid w:val="22AD3368"/>
    <w:rsid w:val="232438F8"/>
    <w:rsid w:val="236D3695"/>
    <w:rsid w:val="238E3EEC"/>
    <w:rsid w:val="239532A9"/>
    <w:rsid w:val="23B67903"/>
    <w:rsid w:val="23EE7CE6"/>
    <w:rsid w:val="24697F11"/>
    <w:rsid w:val="24C32858"/>
    <w:rsid w:val="24C524CD"/>
    <w:rsid w:val="2540169B"/>
    <w:rsid w:val="254C54AF"/>
    <w:rsid w:val="25536485"/>
    <w:rsid w:val="25564AF8"/>
    <w:rsid w:val="255F3CF4"/>
    <w:rsid w:val="257C711B"/>
    <w:rsid w:val="25812633"/>
    <w:rsid w:val="25A37407"/>
    <w:rsid w:val="25CD352E"/>
    <w:rsid w:val="261852AA"/>
    <w:rsid w:val="26312C37"/>
    <w:rsid w:val="264F4BAF"/>
    <w:rsid w:val="2651726D"/>
    <w:rsid w:val="26630D6D"/>
    <w:rsid w:val="267B2836"/>
    <w:rsid w:val="26CD18EE"/>
    <w:rsid w:val="26D17E18"/>
    <w:rsid w:val="26D35B00"/>
    <w:rsid w:val="27146ED3"/>
    <w:rsid w:val="273B19F0"/>
    <w:rsid w:val="276B5476"/>
    <w:rsid w:val="27C66912"/>
    <w:rsid w:val="28552269"/>
    <w:rsid w:val="288853B6"/>
    <w:rsid w:val="29465E21"/>
    <w:rsid w:val="294A5317"/>
    <w:rsid w:val="294E1B0D"/>
    <w:rsid w:val="29983241"/>
    <w:rsid w:val="29DB4838"/>
    <w:rsid w:val="29E408E4"/>
    <w:rsid w:val="29FD7F36"/>
    <w:rsid w:val="2A1E6C08"/>
    <w:rsid w:val="2A8B5F62"/>
    <w:rsid w:val="2AA118D8"/>
    <w:rsid w:val="2B0B5137"/>
    <w:rsid w:val="2B143F3B"/>
    <w:rsid w:val="2B446CBE"/>
    <w:rsid w:val="2C0C0C6E"/>
    <w:rsid w:val="2C234DA9"/>
    <w:rsid w:val="2C35725F"/>
    <w:rsid w:val="2C396F73"/>
    <w:rsid w:val="2CB05C94"/>
    <w:rsid w:val="2D050AA1"/>
    <w:rsid w:val="2D062D6C"/>
    <w:rsid w:val="2DCC2C7E"/>
    <w:rsid w:val="2E296C0A"/>
    <w:rsid w:val="2F1D7BB2"/>
    <w:rsid w:val="2F3C39FD"/>
    <w:rsid w:val="3011347E"/>
    <w:rsid w:val="305D52BB"/>
    <w:rsid w:val="3068454B"/>
    <w:rsid w:val="30707DE6"/>
    <w:rsid w:val="309D234B"/>
    <w:rsid w:val="30AD68EC"/>
    <w:rsid w:val="30E35D9C"/>
    <w:rsid w:val="31335637"/>
    <w:rsid w:val="31461830"/>
    <w:rsid w:val="315525C4"/>
    <w:rsid w:val="315558C9"/>
    <w:rsid w:val="31A74777"/>
    <w:rsid w:val="31DD3230"/>
    <w:rsid w:val="31F51C13"/>
    <w:rsid w:val="32293ADC"/>
    <w:rsid w:val="323735F3"/>
    <w:rsid w:val="324F6829"/>
    <w:rsid w:val="32E037EF"/>
    <w:rsid w:val="33180E00"/>
    <w:rsid w:val="33282FC1"/>
    <w:rsid w:val="33996C93"/>
    <w:rsid w:val="33AF0DC3"/>
    <w:rsid w:val="33BF32BB"/>
    <w:rsid w:val="33D158D3"/>
    <w:rsid w:val="33E533A7"/>
    <w:rsid w:val="34152262"/>
    <w:rsid w:val="34935C03"/>
    <w:rsid w:val="34C05552"/>
    <w:rsid w:val="34E21496"/>
    <w:rsid w:val="352D3AC5"/>
    <w:rsid w:val="352F751C"/>
    <w:rsid w:val="3622428E"/>
    <w:rsid w:val="363D7A11"/>
    <w:rsid w:val="36682680"/>
    <w:rsid w:val="36D02FA1"/>
    <w:rsid w:val="371A5E42"/>
    <w:rsid w:val="37635F26"/>
    <w:rsid w:val="378D25B7"/>
    <w:rsid w:val="38402FB6"/>
    <w:rsid w:val="384E195E"/>
    <w:rsid w:val="38874926"/>
    <w:rsid w:val="38AF491C"/>
    <w:rsid w:val="38CD6CB8"/>
    <w:rsid w:val="397F2919"/>
    <w:rsid w:val="39DD2AAC"/>
    <w:rsid w:val="3A06572C"/>
    <w:rsid w:val="3A3921CB"/>
    <w:rsid w:val="3A443B9D"/>
    <w:rsid w:val="3A4E03FE"/>
    <w:rsid w:val="3A513AD9"/>
    <w:rsid w:val="3A7B4E70"/>
    <w:rsid w:val="3AD052BC"/>
    <w:rsid w:val="3AF71322"/>
    <w:rsid w:val="3B4A1B24"/>
    <w:rsid w:val="3B912A28"/>
    <w:rsid w:val="3BAB25A8"/>
    <w:rsid w:val="3BAD569F"/>
    <w:rsid w:val="3BB21372"/>
    <w:rsid w:val="3BC33CBF"/>
    <w:rsid w:val="3BCC1BA8"/>
    <w:rsid w:val="3BDB266F"/>
    <w:rsid w:val="3C170E74"/>
    <w:rsid w:val="3CAC4877"/>
    <w:rsid w:val="3CF153E2"/>
    <w:rsid w:val="3CF247D7"/>
    <w:rsid w:val="3D1143F1"/>
    <w:rsid w:val="3D164070"/>
    <w:rsid w:val="3D1914C2"/>
    <w:rsid w:val="3D5F1CEF"/>
    <w:rsid w:val="3D6D5465"/>
    <w:rsid w:val="3D71335B"/>
    <w:rsid w:val="3D7742A8"/>
    <w:rsid w:val="3DAD5A12"/>
    <w:rsid w:val="3DC27423"/>
    <w:rsid w:val="3DDC2C47"/>
    <w:rsid w:val="3DEC6CA5"/>
    <w:rsid w:val="3E1B7C71"/>
    <w:rsid w:val="3E245C2E"/>
    <w:rsid w:val="3E2E685D"/>
    <w:rsid w:val="3EA77E6F"/>
    <w:rsid w:val="3EF330D1"/>
    <w:rsid w:val="3F331000"/>
    <w:rsid w:val="3F602315"/>
    <w:rsid w:val="3F6D3942"/>
    <w:rsid w:val="3F761C6C"/>
    <w:rsid w:val="3F8C0DFD"/>
    <w:rsid w:val="3FD946FF"/>
    <w:rsid w:val="3FFE371F"/>
    <w:rsid w:val="3FFF312E"/>
    <w:rsid w:val="408155C3"/>
    <w:rsid w:val="40974EE0"/>
    <w:rsid w:val="40B0741F"/>
    <w:rsid w:val="40DA1153"/>
    <w:rsid w:val="40DF1977"/>
    <w:rsid w:val="41053F2B"/>
    <w:rsid w:val="416C2526"/>
    <w:rsid w:val="419B7679"/>
    <w:rsid w:val="41F93829"/>
    <w:rsid w:val="420D665A"/>
    <w:rsid w:val="42133023"/>
    <w:rsid w:val="425354D1"/>
    <w:rsid w:val="42541DD8"/>
    <w:rsid w:val="426658E2"/>
    <w:rsid w:val="426C2FCF"/>
    <w:rsid w:val="42A922B4"/>
    <w:rsid w:val="42B6485A"/>
    <w:rsid w:val="42BC60E0"/>
    <w:rsid w:val="42CE696C"/>
    <w:rsid w:val="42E03B66"/>
    <w:rsid w:val="42F568E8"/>
    <w:rsid w:val="4318658F"/>
    <w:rsid w:val="43331E03"/>
    <w:rsid w:val="43823CAF"/>
    <w:rsid w:val="438A76EB"/>
    <w:rsid w:val="43D16743"/>
    <w:rsid w:val="43F06B7D"/>
    <w:rsid w:val="43FB1196"/>
    <w:rsid w:val="44344328"/>
    <w:rsid w:val="44394E9D"/>
    <w:rsid w:val="445E71C9"/>
    <w:rsid w:val="447156D9"/>
    <w:rsid w:val="448677A8"/>
    <w:rsid w:val="44AB0D09"/>
    <w:rsid w:val="44B97AE4"/>
    <w:rsid w:val="44D05C77"/>
    <w:rsid w:val="44F8710A"/>
    <w:rsid w:val="4529320C"/>
    <w:rsid w:val="45394399"/>
    <w:rsid w:val="455A7402"/>
    <w:rsid w:val="45B713D3"/>
    <w:rsid w:val="45BD0E9B"/>
    <w:rsid w:val="462E45A7"/>
    <w:rsid w:val="465E406B"/>
    <w:rsid w:val="4672277C"/>
    <w:rsid w:val="46ED70AF"/>
    <w:rsid w:val="474A0E27"/>
    <w:rsid w:val="47BF14AA"/>
    <w:rsid w:val="485E093B"/>
    <w:rsid w:val="48D52885"/>
    <w:rsid w:val="4909331F"/>
    <w:rsid w:val="493804DC"/>
    <w:rsid w:val="49511FE6"/>
    <w:rsid w:val="49C51DBC"/>
    <w:rsid w:val="49D11018"/>
    <w:rsid w:val="4A615632"/>
    <w:rsid w:val="4AA715BE"/>
    <w:rsid w:val="4ACF7246"/>
    <w:rsid w:val="4AE019ED"/>
    <w:rsid w:val="4B2C1611"/>
    <w:rsid w:val="4B53419C"/>
    <w:rsid w:val="4B703C54"/>
    <w:rsid w:val="4B7B4253"/>
    <w:rsid w:val="4B9625D5"/>
    <w:rsid w:val="4B971E91"/>
    <w:rsid w:val="4BA34DC9"/>
    <w:rsid w:val="4BA51643"/>
    <w:rsid w:val="4C1C20F3"/>
    <w:rsid w:val="4C3465E7"/>
    <w:rsid w:val="4C4351B8"/>
    <w:rsid w:val="4C776FBC"/>
    <w:rsid w:val="4CB22FB3"/>
    <w:rsid w:val="4D1942F3"/>
    <w:rsid w:val="4D416740"/>
    <w:rsid w:val="4D6C4FC9"/>
    <w:rsid w:val="4DA73A49"/>
    <w:rsid w:val="4DA86EA8"/>
    <w:rsid w:val="4DE570BD"/>
    <w:rsid w:val="4DF16785"/>
    <w:rsid w:val="4E14345B"/>
    <w:rsid w:val="4E8E6380"/>
    <w:rsid w:val="4EB32C05"/>
    <w:rsid w:val="4EBE316B"/>
    <w:rsid w:val="4ED8017F"/>
    <w:rsid w:val="4F6721DC"/>
    <w:rsid w:val="4FC3300B"/>
    <w:rsid w:val="4FC947CF"/>
    <w:rsid w:val="4FD464EA"/>
    <w:rsid w:val="4FDE152F"/>
    <w:rsid w:val="4FE915CF"/>
    <w:rsid w:val="500B2263"/>
    <w:rsid w:val="50512FF0"/>
    <w:rsid w:val="507B751D"/>
    <w:rsid w:val="50AE2C38"/>
    <w:rsid w:val="50E37F6D"/>
    <w:rsid w:val="51513AB3"/>
    <w:rsid w:val="51542438"/>
    <w:rsid w:val="516B000C"/>
    <w:rsid w:val="518C7751"/>
    <w:rsid w:val="51A30901"/>
    <w:rsid w:val="51CB6830"/>
    <w:rsid w:val="51CE0C05"/>
    <w:rsid w:val="51D179D4"/>
    <w:rsid w:val="51F56371"/>
    <w:rsid w:val="521B26F9"/>
    <w:rsid w:val="521E3B85"/>
    <w:rsid w:val="52383F17"/>
    <w:rsid w:val="5254077F"/>
    <w:rsid w:val="526C0312"/>
    <w:rsid w:val="526F3AEF"/>
    <w:rsid w:val="52A93515"/>
    <w:rsid w:val="52B82B54"/>
    <w:rsid w:val="53757EF1"/>
    <w:rsid w:val="53F4018E"/>
    <w:rsid w:val="540A70A2"/>
    <w:rsid w:val="540E7BEA"/>
    <w:rsid w:val="54607E99"/>
    <w:rsid w:val="548E1B24"/>
    <w:rsid w:val="54E2210D"/>
    <w:rsid w:val="54EF06F3"/>
    <w:rsid w:val="55103C17"/>
    <w:rsid w:val="553928A3"/>
    <w:rsid w:val="5551627E"/>
    <w:rsid w:val="55772BF7"/>
    <w:rsid w:val="55F03A16"/>
    <w:rsid w:val="55F11208"/>
    <w:rsid w:val="56244ABF"/>
    <w:rsid w:val="56401992"/>
    <w:rsid w:val="566744A6"/>
    <w:rsid w:val="56AD61BA"/>
    <w:rsid w:val="56B8260C"/>
    <w:rsid w:val="56C417F4"/>
    <w:rsid w:val="56D86641"/>
    <w:rsid w:val="574A518B"/>
    <w:rsid w:val="5752623B"/>
    <w:rsid w:val="575C6022"/>
    <w:rsid w:val="578B2937"/>
    <w:rsid w:val="57B47505"/>
    <w:rsid w:val="586C058A"/>
    <w:rsid w:val="58702A05"/>
    <w:rsid w:val="58C04D92"/>
    <w:rsid w:val="5908576E"/>
    <w:rsid w:val="594B169F"/>
    <w:rsid w:val="59536795"/>
    <w:rsid w:val="596C46AD"/>
    <w:rsid w:val="59725FBB"/>
    <w:rsid w:val="59EF11BE"/>
    <w:rsid w:val="59FF0C9B"/>
    <w:rsid w:val="5A4C4F15"/>
    <w:rsid w:val="5A6772A1"/>
    <w:rsid w:val="5A827EC2"/>
    <w:rsid w:val="5A9C72F2"/>
    <w:rsid w:val="5ABE0CBD"/>
    <w:rsid w:val="5AE5200C"/>
    <w:rsid w:val="5AF124B4"/>
    <w:rsid w:val="5B7A5FF8"/>
    <w:rsid w:val="5BB05106"/>
    <w:rsid w:val="5BB44CDD"/>
    <w:rsid w:val="5BCB0F82"/>
    <w:rsid w:val="5C6003A3"/>
    <w:rsid w:val="5C6C5A63"/>
    <w:rsid w:val="5C7E78E4"/>
    <w:rsid w:val="5CAB318E"/>
    <w:rsid w:val="5D354A6A"/>
    <w:rsid w:val="5D47286F"/>
    <w:rsid w:val="5D9F3375"/>
    <w:rsid w:val="5DD615D6"/>
    <w:rsid w:val="5DFF28C4"/>
    <w:rsid w:val="5E0D6D7F"/>
    <w:rsid w:val="5E1932C2"/>
    <w:rsid w:val="5E263851"/>
    <w:rsid w:val="5E74054B"/>
    <w:rsid w:val="5EAD0857"/>
    <w:rsid w:val="5EE6647F"/>
    <w:rsid w:val="5F4741DA"/>
    <w:rsid w:val="5F5407A4"/>
    <w:rsid w:val="5F7F36E0"/>
    <w:rsid w:val="5FAA0BCE"/>
    <w:rsid w:val="600810F1"/>
    <w:rsid w:val="60451DF4"/>
    <w:rsid w:val="6083211D"/>
    <w:rsid w:val="609F0550"/>
    <w:rsid w:val="6102195C"/>
    <w:rsid w:val="61131D5E"/>
    <w:rsid w:val="614A32ED"/>
    <w:rsid w:val="61714CC5"/>
    <w:rsid w:val="61965DE8"/>
    <w:rsid w:val="61A84F2D"/>
    <w:rsid w:val="621E5198"/>
    <w:rsid w:val="625D3B3C"/>
    <w:rsid w:val="628B27D3"/>
    <w:rsid w:val="62962E12"/>
    <w:rsid w:val="629908CF"/>
    <w:rsid w:val="62EA2180"/>
    <w:rsid w:val="633041AE"/>
    <w:rsid w:val="633C07EB"/>
    <w:rsid w:val="633F6232"/>
    <w:rsid w:val="6353696F"/>
    <w:rsid w:val="63963BE3"/>
    <w:rsid w:val="639C7D9F"/>
    <w:rsid w:val="63A05471"/>
    <w:rsid w:val="63E65E6A"/>
    <w:rsid w:val="642D2351"/>
    <w:rsid w:val="642E7F65"/>
    <w:rsid w:val="64767B67"/>
    <w:rsid w:val="64C1277A"/>
    <w:rsid w:val="65426362"/>
    <w:rsid w:val="65F76AB9"/>
    <w:rsid w:val="66030759"/>
    <w:rsid w:val="660F20A0"/>
    <w:rsid w:val="66434D42"/>
    <w:rsid w:val="66A90C34"/>
    <w:rsid w:val="6710746C"/>
    <w:rsid w:val="6734321D"/>
    <w:rsid w:val="67357E4B"/>
    <w:rsid w:val="67441C94"/>
    <w:rsid w:val="67601C08"/>
    <w:rsid w:val="67645E5F"/>
    <w:rsid w:val="677E0998"/>
    <w:rsid w:val="67976236"/>
    <w:rsid w:val="679A6143"/>
    <w:rsid w:val="679E10DC"/>
    <w:rsid w:val="67A01854"/>
    <w:rsid w:val="67AB4055"/>
    <w:rsid w:val="67DC1A08"/>
    <w:rsid w:val="68161FDC"/>
    <w:rsid w:val="681B5130"/>
    <w:rsid w:val="688D573E"/>
    <w:rsid w:val="68B51A00"/>
    <w:rsid w:val="68CA3619"/>
    <w:rsid w:val="68F75CDD"/>
    <w:rsid w:val="69124344"/>
    <w:rsid w:val="692C634B"/>
    <w:rsid w:val="695A155B"/>
    <w:rsid w:val="69AC09A9"/>
    <w:rsid w:val="6A4D3387"/>
    <w:rsid w:val="6A7B0031"/>
    <w:rsid w:val="6A8F4A1A"/>
    <w:rsid w:val="6B0C2F09"/>
    <w:rsid w:val="6B256087"/>
    <w:rsid w:val="6C07290C"/>
    <w:rsid w:val="6C222346"/>
    <w:rsid w:val="6C4924BC"/>
    <w:rsid w:val="6C673ED3"/>
    <w:rsid w:val="6CD67807"/>
    <w:rsid w:val="6D1E72B5"/>
    <w:rsid w:val="6D3C6926"/>
    <w:rsid w:val="6D6B2BC1"/>
    <w:rsid w:val="6ED3514A"/>
    <w:rsid w:val="6EE90060"/>
    <w:rsid w:val="6F023EAA"/>
    <w:rsid w:val="6F562C92"/>
    <w:rsid w:val="6F7B1DCF"/>
    <w:rsid w:val="6FA27E70"/>
    <w:rsid w:val="6FFF2B24"/>
    <w:rsid w:val="70452E23"/>
    <w:rsid w:val="710702B6"/>
    <w:rsid w:val="712370C7"/>
    <w:rsid w:val="71D83D5B"/>
    <w:rsid w:val="71E639C6"/>
    <w:rsid w:val="71E90FA2"/>
    <w:rsid w:val="71F65133"/>
    <w:rsid w:val="72310774"/>
    <w:rsid w:val="725D358C"/>
    <w:rsid w:val="72793378"/>
    <w:rsid w:val="72910BC0"/>
    <w:rsid w:val="72937D08"/>
    <w:rsid w:val="72A315E9"/>
    <w:rsid w:val="72A649AA"/>
    <w:rsid w:val="736151CF"/>
    <w:rsid w:val="736154DA"/>
    <w:rsid w:val="73622A28"/>
    <w:rsid w:val="73A37160"/>
    <w:rsid w:val="742A1826"/>
    <w:rsid w:val="745A1FBE"/>
    <w:rsid w:val="74715CEB"/>
    <w:rsid w:val="74AC59FE"/>
    <w:rsid w:val="74DE1938"/>
    <w:rsid w:val="74F235BC"/>
    <w:rsid w:val="74FF4354"/>
    <w:rsid w:val="750A08D4"/>
    <w:rsid w:val="750B21FE"/>
    <w:rsid w:val="751C0907"/>
    <w:rsid w:val="757873DD"/>
    <w:rsid w:val="75EC3771"/>
    <w:rsid w:val="7657581C"/>
    <w:rsid w:val="76BE298C"/>
    <w:rsid w:val="76F80975"/>
    <w:rsid w:val="770B7DC5"/>
    <w:rsid w:val="771D489E"/>
    <w:rsid w:val="773C1A27"/>
    <w:rsid w:val="775502D5"/>
    <w:rsid w:val="777F487B"/>
    <w:rsid w:val="77CF7D29"/>
    <w:rsid w:val="77E62A27"/>
    <w:rsid w:val="77F926A7"/>
    <w:rsid w:val="781B5A90"/>
    <w:rsid w:val="7837596D"/>
    <w:rsid w:val="78781056"/>
    <w:rsid w:val="78927C9F"/>
    <w:rsid w:val="78B203AB"/>
    <w:rsid w:val="78B807B5"/>
    <w:rsid w:val="79733B9F"/>
    <w:rsid w:val="799D4241"/>
    <w:rsid w:val="79AA2436"/>
    <w:rsid w:val="79BD7FD4"/>
    <w:rsid w:val="7A943E04"/>
    <w:rsid w:val="7AAE606C"/>
    <w:rsid w:val="7AC134CD"/>
    <w:rsid w:val="7AF32DC8"/>
    <w:rsid w:val="7B237C19"/>
    <w:rsid w:val="7B272E8A"/>
    <w:rsid w:val="7B7D70A8"/>
    <w:rsid w:val="7BA02D25"/>
    <w:rsid w:val="7BA82590"/>
    <w:rsid w:val="7BB86EE1"/>
    <w:rsid w:val="7BBA3AF8"/>
    <w:rsid w:val="7BE76F57"/>
    <w:rsid w:val="7BFD1824"/>
    <w:rsid w:val="7CC21413"/>
    <w:rsid w:val="7CC41BFE"/>
    <w:rsid w:val="7CFA52F4"/>
    <w:rsid w:val="7D23664D"/>
    <w:rsid w:val="7D47556E"/>
    <w:rsid w:val="7DB11484"/>
    <w:rsid w:val="7DE63964"/>
    <w:rsid w:val="7E853C7D"/>
    <w:rsid w:val="7E930659"/>
    <w:rsid w:val="7EA35DE7"/>
    <w:rsid w:val="7ECC5C83"/>
    <w:rsid w:val="7F4924B1"/>
    <w:rsid w:val="7F4A7BAD"/>
    <w:rsid w:val="7F937424"/>
    <w:rsid w:val="7FD934D7"/>
    <w:rsid w:val="7FF41E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5">
    <w:name w:val="annotation text"/>
    <w:basedOn w:val="1"/>
    <w:link w:val="38"/>
    <w:semiHidden/>
    <w:unhideWhenUsed/>
    <w:qFormat/>
    <w:uiPriority w:val="99"/>
    <w:pPr>
      <w:jc w:val="left"/>
    </w:pPr>
  </w:style>
  <w:style w:type="paragraph" w:styleId="6">
    <w:name w:val="Balloon Text"/>
    <w:basedOn w:val="1"/>
    <w:link w:val="31"/>
    <w:semiHidden/>
    <w:unhideWhenUsed/>
    <w:qFormat/>
    <w:uiPriority w:val="99"/>
    <w:rPr>
      <w:sz w:val="18"/>
      <w:szCs w:val="18"/>
    </w:rPr>
  </w:style>
  <w:style w:type="paragraph" w:styleId="7">
    <w:name w:val="footer"/>
    <w:basedOn w:val="1"/>
    <w:link w:val="28"/>
    <w:unhideWhenUsed/>
    <w:qFormat/>
    <w:uiPriority w:val="99"/>
    <w:pPr>
      <w:tabs>
        <w:tab w:val="center" w:pos="4153"/>
        <w:tab w:val="right" w:pos="8306"/>
      </w:tabs>
      <w:snapToGrid w:val="0"/>
      <w:jc w:val="left"/>
    </w:pPr>
    <w:rPr>
      <w:sz w:val="18"/>
      <w:szCs w:val="18"/>
    </w:rPr>
  </w:style>
  <w:style w:type="paragraph" w:styleId="8">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jc w:val="left"/>
    </w:pPr>
    <w:rPr>
      <w:kern w:val="0"/>
      <w:sz w:val="24"/>
    </w:rPr>
  </w:style>
  <w:style w:type="paragraph" w:styleId="10">
    <w:name w:val="annotation subject"/>
    <w:basedOn w:val="5"/>
    <w:next w:val="5"/>
    <w:link w:val="39"/>
    <w:semiHidden/>
    <w:unhideWhenUsed/>
    <w:qFormat/>
    <w:uiPriority w:val="99"/>
    <w:rPr>
      <w:b/>
      <w:bCs/>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styleId="15">
    <w:name w:val="FollowedHyperlink"/>
    <w:basedOn w:val="13"/>
    <w:semiHidden/>
    <w:unhideWhenUsed/>
    <w:qFormat/>
    <w:uiPriority w:val="99"/>
    <w:rPr>
      <w:color w:val="600090"/>
      <w:u w:val="single"/>
    </w:rPr>
  </w:style>
  <w:style w:type="character" w:styleId="16">
    <w:name w:val="Emphasis"/>
    <w:basedOn w:val="13"/>
    <w:qFormat/>
    <w:uiPriority w:val="20"/>
  </w:style>
  <w:style w:type="character" w:styleId="17">
    <w:name w:val="HTML Definition"/>
    <w:basedOn w:val="13"/>
    <w:semiHidden/>
    <w:unhideWhenUsed/>
    <w:qFormat/>
    <w:uiPriority w:val="99"/>
  </w:style>
  <w:style w:type="character" w:styleId="18">
    <w:name w:val="HTML Acronym"/>
    <w:basedOn w:val="13"/>
    <w:semiHidden/>
    <w:unhideWhenUsed/>
    <w:qFormat/>
    <w:uiPriority w:val="99"/>
  </w:style>
  <w:style w:type="character" w:styleId="19">
    <w:name w:val="HTML Variable"/>
    <w:basedOn w:val="13"/>
    <w:semiHidden/>
    <w:unhideWhenUsed/>
    <w:qFormat/>
    <w:uiPriority w:val="99"/>
  </w:style>
  <w:style w:type="character" w:styleId="20">
    <w:name w:val="Hyperlink"/>
    <w:basedOn w:val="13"/>
    <w:unhideWhenUsed/>
    <w:qFormat/>
    <w:uiPriority w:val="99"/>
    <w:rPr>
      <w:color w:val="0000FF" w:themeColor="hyperlink"/>
      <w:u w:val="single"/>
      <w14:textFill>
        <w14:solidFill>
          <w14:schemeClr w14:val="hlink"/>
        </w14:solidFill>
      </w14:textFill>
    </w:rPr>
  </w:style>
  <w:style w:type="character" w:styleId="21">
    <w:name w:val="HTML Code"/>
    <w:basedOn w:val="13"/>
    <w:semiHidden/>
    <w:unhideWhenUsed/>
    <w:qFormat/>
    <w:uiPriority w:val="99"/>
    <w:rPr>
      <w:rFonts w:ascii="Courier New" w:hAnsi="Courier New"/>
      <w:sz w:val="20"/>
    </w:rPr>
  </w:style>
  <w:style w:type="character" w:styleId="22">
    <w:name w:val="annotation reference"/>
    <w:basedOn w:val="13"/>
    <w:semiHidden/>
    <w:unhideWhenUsed/>
    <w:qFormat/>
    <w:uiPriority w:val="99"/>
    <w:rPr>
      <w:sz w:val="21"/>
      <w:szCs w:val="21"/>
    </w:rPr>
  </w:style>
  <w:style w:type="character" w:styleId="23">
    <w:name w:val="HTML Cite"/>
    <w:basedOn w:val="13"/>
    <w:semiHidden/>
    <w:unhideWhenUsed/>
    <w:qFormat/>
    <w:uiPriority w:val="99"/>
    <w:rPr>
      <w:color w:val="006D21"/>
    </w:rPr>
  </w:style>
  <w:style w:type="paragraph" w:customStyle="1" w:styleId="24">
    <w:name w:val="默认"/>
    <w:basedOn w:val="1"/>
    <w:next w:val="1"/>
    <w:qFormat/>
    <w:uiPriority w:val="0"/>
    <w:pPr>
      <w:widowControl/>
      <w:jc w:val="left"/>
    </w:pPr>
    <w:rPr>
      <w:rFonts w:ascii="Helvetica Neue" w:hAnsi="Helvetica Neue" w:eastAsia="Arial Unicode MS" w:cs="Arial Unicode MS"/>
      <w:color w:val="000000"/>
      <w:kern w:val="0"/>
      <w:sz w:val="22"/>
    </w:rPr>
  </w:style>
  <w:style w:type="character" w:customStyle="1" w:styleId="25">
    <w:name w:val="标题 1 Char"/>
    <w:basedOn w:val="13"/>
    <w:link w:val="3"/>
    <w:qFormat/>
    <w:uiPriority w:val="9"/>
    <w:rPr>
      <w:b/>
      <w:bCs/>
      <w:kern w:val="44"/>
      <w:sz w:val="44"/>
      <w:szCs w:val="44"/>
    </w:rPr>
  </w:style>
  <w:style w:type="character" w:customStyle="1" w:styleId="26">
    <w:name w:val="标题 2 Char"/>
    <w:basedOn w:val="13"/>
    <w:link w:val="4"/>
    <w:qFormat/>
    <w:uiPriority w:val="9"/>
    <w:rPr>
      <w:rFonts w:asciiTheme="majorHAnsi" w:hAnsiTheme="majorHAnsi" w:eastAsiaTheme="majorEastAsia" w:cstheme="majorBidi"/>
      <w:b/>
      <w:bCs/>
      <w:kern w:val="2"/>
      <w:sz w:val="32"/>
      <w:szCs w:val="32"/>
    </w:rPr>
  </w:style>
  <w:style w:type="character" w:customStyle="1" w:styleId="27">
    <w:name w:val="页眉 Char"/>
    <w:basedOn w:val="13"/>
    <w:link w:val="8"/>
    <w:qFormat/>
    <w:uiPriority w:val="99"/>
    <w:rPr>
      <w:kern w:val="2"/>
      <w:sz w:val="18"/>
      <w:szCs w:val="18"/>
    </w:rPr>
  </w:style>
  <w:style w:type="character" w:customStyle="1" w:styleId="28">
    <w:name w:val="页脚 Char"/>
    <w:basedOn w:val="13"/>
    <w:link w:val="7"/>
    <w:qFormat/>
    <w:uiPriority w:val="99"/>
    <w:rPr>
      <w:kern w:val="2"/>
      <w:sz w:val="18"/>
      <w:szCs w:val="18"/>
    </w:rPr>
  </w:style>
  <w:style w:type="paragraph" w:styleId="29">
    <w:name w:val="List Paragraph"/>
    <w:basedOn w:val="1"/>
    <w:qFormat/>
    <w:uiPriority w:val="99"/>
    <w:pPr>
      <w:spacing w:before="340" w:after="330" w:line="578" w:lineRule="auto"/>
      <w:ind w:left="420" w:firstLine="420" w:firstLineChars="200"/>
    </w:pPr>
  </w:style>
  <w:style w:type="paragraph" w:customStyle="1" w:styleId="30">
    <w:name w:val="_Style 2"/>
    <w:basedOn w:val="1"/>
    <w:qFormat/>
    <w:uiPriority w:val="99"/>
    <w:pPr>
      <w:spacing w:before="340" w:after="330" w:line="578" w:lineRule="auto"/>
      <w:ind w:left="420" w:firstLine="420" w:firstLineChars="200"/>
    </w:pPr>
  </w:style>
  <w:style w:type="character" w:customStyle="1" w:styleId="31">
    <w:name w:val="批注框文本 Char"/>
    <w:basedOn w:val="13"/>
    <w:link w:val="6"/>
    <w:semiHidden/>
    <w:qFormat/>
    <w:uiPriority w:val="99"/>
    <w:rPr>
      <w:rFonts w:ascii="Calibri" w:hAnsi="Calibri"/>
      <w:kern w:val="2"/>
      <w:sz w:val="18"/>
      <w:szCs w:val="18"/>
    </w:rPr>
  </w:style>
  <w:style w:type="character" w:customStyle="1" w:styleId="32">
    <w:name w:val="font41"/>
    <w:basedOn w:val="13"/>
    <w:qFormat/>
    <w:uiPriority w:val="0"/>
    <w:rPr>
      <w:rFonts w:hint="eastAsia" w:ascii="宋体" w:hAnsi="宋体" w:eastAsia="宋体" w:cs="宋体"/>
      <w:color w:val="000000"/>
      <w:sz w:val="22"/>
      <w:szCs w:val="22"/>
      <w:u w:val="none"/>
    </w:rPr>
  </w:style>
  <w:style w:type="character" w:customStyle="1" w:styleId="33">
    <w:name w:val="font61"/>
    <w:basedOn w:val="13"/>
    <w:qFormat/>
    <w:uiPriority w:val="0"/>
    <w:rPr>
      <w:rFonts w:hint="default" w:ascii="Tahoma" w:hAnsi="Tahoma" w:eastAsia="Tahoma" w:cs="Tahoma"/>
      <w:color w:val="000000"/>
      <w:sz w:val="22"/>
      <w:szCs w:val="22"/>
      <w:u w:val="none"/>
    </w:rPr>
  </w:style>
  <w:style w:type="character" w:customStyle="1" w:styleId="34">
    <w:name w:val="font21"/>
    <w:basedOn w:val="13"/>
    <w:qFormat/>
    <w:uiPriority w:val="0"/>
    <w:rPr>
      <w:rFonts w:hint="eastAsia" w:ascii="宋体" w:hAnsi="宋体" w:eastAsia="宋体" w:cs="宋体"/>
      <w:color w:val="000000"/>
      <w:sz w:val="21"/>
      <w:szCs w:val="21"/>
      <w:u w:val="none"/>
    </w:rPr>
  </w:style>
  <w:style w:type="character" w:customStyle="1" w:styleId="35">
    <w:name w:val="font11"/>
    <w:basedOn w:val="13"/>
    <w:qFormat/>
    <w:uiPriority w:val="0"/>
    <w:rPr>
      <w:rFonts w:ascii="Calibri" w:hAnsi="Calibri" w:cs="Calibri"/>
      <w:color w:val="000000"/>
      <w:sz w:val="21"/>
      <w:szCs w:val="21"/>
      <w:u w:val="none"/>
    </w:rPr>
  </w:style>
  <w:style w:type="character" w:customStyle="1" w:styleId="36">
    <w:name w:val="font01"/>
    <w:basedOn w:val="13"/>
    <w:qFormat/>
    <w:uiPriority w:val="0"/>
    <w:rPr>
      <w:rFonts w:hint="default" w:ascii="Calibri" w:hAnsi="Calibri" w:cs="Calibri"/>
      <w:color w:val="000000"/>
      <w:sz w:val="21"/>
      <w:szCs w:val="21"/>
      <w:u w:val="single"/>
    </w:rPr>
  </w:style>
  <w:style w:type="character" w:customStyle="1" w:styleId="37">
    <w:name w:val="index-module_accountauthentication_3bwix"/>
    <w:basedOn w:val="13"/>
    <w:qFormat/>
    <w:uiPriority w:val="0"/>
  </w:style>
  <w:style w:type="character" w:customStyle="1" w:styleId="38">
    <w:name w:val="批注文字 Char"/>
    <w:basedOn w:val="13"/>
    <w:link w:val="5"/>
    <w:semiHidden/>
    <w:qFormat/>
    <w:uiPriority w:val="99"/>
    <w:rPr>
      <w:rFonts w:ascii="Calibri" w:hAnsi="Calibri"/>
      <w:kern w:val="2"/>
      <w:sz w:val="21"/>
      <w:szCs w:val="22"/>
    </w:rPr>
  </w:style>
  <w:style w:type="character" w:customStyle="1" w:styleId="39">
    <w:name w:val="批注主题 Char"/>
    <w:basedOn w:val="38"/>
    <w:link w:val="10"/>
    <w:semiHidden/>
    <w:qFormat/>
    <w:uiPriority w:val="99"/>
    <w:rPr>
      <w:rFonts w:ascii="Calibri" w:hAnsi="Calibri"/>
      <w:b/>
      <w:bCs/>
      <w:kern w:val="2"/>
      <w:sz w:val="21"/>
      <w:szCs w:val="22"/>
    </w:rPr>
  </w:style>
  <w:style w:type="character" w:customStyle="1" w:styleId="40">
    <w:name w:val="btn-task-gray"/>
    <w:basedOn w:val="13"/>
    <w:qFormat/>
    <w:uiPriority w:val="0"/>
  </w:style>
  <w:style w:type="character" w:customStyle="1" w:styleId="41">
    <w:name w:val="btn-task-gray1"/>
    <w:basedOn w:val="13"/>
    <w:qFormat/>
    <w:uiPriority w:val="0"/>
    <w:rPr>
      <w:color w:val="FFFFFF"/>
      <w:u w:val="none"/>
      <w:shd w:val="clear" w:fill="CCCCCC"/>
    </w:rPr>
  </w:style>
  <w:style w:type="character" w:customStyle="1" w:styleId="42">
    <w:name w:val="btn-auto-11"/>
    <w:basedOn w:val="13"/>
    <w:qFormat/>
    <w:uiPriority w:val="0"/>
  </w:style>
  <w:style w:type="character" w:customStyle="1" w:styleId="43">
    <w:name w:val="s1"/>
    <w:basedOn w:val="13"/>
    <w:qFormat/>
    <w:uiPriority w:val="0"/>
    <w:rPr>
      <w:color w:val="DDDDDD"/>
      <w:sz w:val="18"/>
      <w:szCs w:val="18"/>
    </w:rPr>
  </w:style>
  <w:style w:type="character" w:customStyle="1" w:styleId="44">
    <w:name w:val="btn-auto-1"/>
    <w:basedOn w:val="13"/>
    <w:qFormat/>
    <w:uiPriority w:val="0"/>
  </w:style>
  <w:style w:type="character" w:customStyle="1" w:styleId="45">
    <w:name w:val="btn-task-gray2"/>
    <w:basedOn w:val="13"/>
    <w:qFormat/>
    <w:uiPriority w:val="0"/>
  </w:style>
  <w:style w:type="character" w:customStyle="1" w:styleId="46">
    <w:name w:val="btn-task-gray3"/>
    <w:basedOn w:val="13"/>
    <w:qFormat/>
    <w:uiPriority w:val="0"/>
    <w:rPr>
      <w:color w:val="FFFFFF"/>
      <w:u w:val="none"/>
      <w:shd w:val="clear" w:fill="CCCCCC"/>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709766-DD32-420D-8CBB-3DF528EB0FB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6441</Words>
  <Characters>790</Characters>
  <Lines>1</Lines>
  <Paragraphs>1</Paragraphs>
  <TotalTime>19</TotalTime>
  <ScaleCrop>false</ScaleCrop>
  <LinksUpToDate>false</LinksUpToDate>
  <CharactersWithSpaces>7217</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2021-07-14T07:03:00Z</dcterms:created>
  <dc:creator>欧阳阳</dc:creator>
  <cp:lastModifiedBy>华年若梦</cp:lastModifiedBy>
  <cp:lastPrinted>2024-03-12T07:31:00Z</cp:lastPrinted>
  <dcterms:modified xsi:type="dcterms:W3CDTF">2024-03-12T13:54:31Z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